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C9D" w:rsidRPr="00EC2DB0" w:rsidRDefault="003E2C9D" w:rsidP="003E2C9D">
      <w:pPr>
        <w:rPr>
          <w:rFonts w:ascii="Georgia" w:eastAsia="Times New Roman" w:hAnsi="Georgia" w:cs="Times New Roman"/>
          <w:color w:val="333333"/>
          <w:lang w:eastAsia="en-GB"/>
        </w:rPr>
      </w:pPr>
      <w:r w:rsidRPr="00EC2DB0">
        <w:t xml:space="preserve">  </w:t>
      </w:r>
      <w:r w:rsidRPr="00EC2DB0">
        <w:rPr>
          <w:rFonts w:ascii="Georgia" w:eastAsia="Times New Roman" w:hAnsi="Georgia" w:cs="Times New Roman"/>
          <w:noProof/>
          <w:color w:val="0066CC"/>
          <w:bdr w:val="none" w:sz="0" w:space="0" w:color="auto" w:frame="1"/>
          <w:lang w:eastAsia="en-GB"/>
        </w:rPr>
        <w:drawing>
          <wp:inline distT="0" distB="0" distL="0" distR="0" wp14:anchorId="6D53CC7E" wp14:editId="42D8E447">
            <wp:extent cx="2561897" cy="1238250"/>
            <wp:effectExtent l="0" t="0" r="0" b="0"/>
            <wp:docPr id="3" name="Picture 3" descr="http://www.transportandhealth.org.uk/wp-content/uploads/2019/07/THSG-lOGO-17-07-2019-300x145.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ransportandhealth.org.uk/wp-content/uploads/2019/07/THSG-lOGO-17-07-2019-300x145.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5651" cy="1264231"/>
                    </a:xfrm>
                    <a:prstGeom prst="rect">
                      <a:avLst/>
                    </a:prstGeom>
                    <a:noFill/>
                    <a:ln>
                      <a:noFill/>
                    </a:ln>
                  </pic:spPr>
                </pic:pic>
              </a:graphicData>
            </a:graphic>
          </wp:inline>
        </w:drawing>
      </w:r>
    </w:p>
    <w:p w:rsidR="003E2C9D" w:rsidRPr="00EC2DB0" w:rsidRDefault="003E2C9D" w:rsidP="003E2C9D">
      <w:pPr>
        <w:rPr>
          <w:lang w:eastAsia="en-GB"/>
        </w:rPr>
      </w:pPr>
      <w:r w:rsidRPr="00EC2DB0">
        <w:rPr>
          <w:lang w:eastAsia="en-GB"/>
        </w:rPr>
        <w:t>A charitable incorporated organisation</w:t>
      </w:r>
    </w:p>
    <w:p w:rsidR="003E2C9D" w:rsidRPr="00EC2DB0" w:rsidRDefault="003E2C9D" w:rsidP="003E2C9D">
      <w:pPr>
        <w:rPr>
          <w:lang w:eastAsia="en-GB"/>
        </w:rPr>
      </w:pPr>
      <w:r w:rsidRPr="00EC2DB0">
        <w:rPr>
          <w:lang w:eastAsia="en-GB"/>
        </w:rPr>
        <w:t>England &amp; Wales charity number 1192138</w:t>
      </w:r>
    </w:p>
    <w:p w:rsidR="003E2C9D" w:rsidRPr="00EC2DB0" w:rsidRDefault="003E2C9D" w:rsidP="003E2C9D">
      <w:pPr>
        <w:rPr>
          <w:lang w:eastAsia="en-GB"/>
        </w:rPr>
      </w:pPr>
    </w:p>
    <w:p w:rsidR="003E2C9D" w:rsidRPr="003E2C9D" w:rsidRDefault="003E2C9D" w:rsidP="003E2C9D">
      <w:pPr>
        <w:jc w:val="center"/>
        <w:rPr>
          <w:b/>
          <w:sz w:val="40"/>
          <w:szCs w:val="40"/>
          <w:lang w:eastAsia="en-GB"/>
        </w:rPr>
      </w:pPr>
      <w:r w:rsidRPr="003E2C9D">
        <w:rPr>
          <w:b/>
          <w:sz w:val="40"/>
          <w:szCs w:val="40"/>
          <w:lang w:eastAsia="en-GB"/>
        </w:rPr>
        <w:t>VISION AND POLICY RECOMMENDATIONS ON</w:t>
      </w:r>
    </w:p>
    <w:p w:rsidR="003E2C9D" w:rsidRPr="003E2C9D" w:rsidRDefault="003E2C9D" w:rsidP="003E2C9D">
      <w:pPr>
        <w:jc w:val="center"/>
        <w:rPr>
          <w:b/>
          <w:sz w:val="40"/>
          <w:szCs w:val="40"/>
          <w:lang w:eastAsia="en-GB"/>
        </w:rPr>
      </w:pPr>
      <w:r w:rsidRPr="003E2C9D">
        <w:rPr>
          <w:b/>
          <w:sz w:val="40"/>
          <w:szCs w:val="40"/>
          <w:lang w:eastAsia="en-GB"/>
        </w:rPr>
        <w:t>INFRASTRUCTURE</w:t>
      </w:r>
    </w:p>
    <w:p w:rsidR="003E2C9D" w:rsidRPr="00EC2DB0" w:rsidRDefault="003E2C9D" w:rsidP="003E2C9D">
      <w:pPr>
        <w:rPr>
          <w:lang w:eastAsia="en-GB"/>
        </w:rPr>
      </w:pPr>
      <w:r w:rsidRPr="00EC2DB0">
        <w:rPr>
          <w:noProof/>
          <w:lang w:eastAsia="en-GB"/>
        </w:rPr>
        <mc:AlternateContent>
          <mc:Choice Requires="wps">
            <w:drawing>
              <wp:anchor distT="45720" distB="45720" distL="114300" distR="114300" simplePos="0" relativeHeight="251659264" behindDoc="0" locked="0" layoutInCell="1" allowOverlap="1" wp14:anchorId="15BA3DDB" wp14:editId="24E3A7AB">
                <wp:simplePos x="0" y="0"/>
                <wp:positionH relativeFrom="column">
                  <wp:posOffset>-276225</wp:posOffset>
                </wp:positionH>
                <wp:positionV relativeFrom="paragraph">
                  <wp:posOffset>358140</wp:posOffset>
                </wp:positionV>
                <wp:extent cx="6305550" cy="19431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943100"/>
                        </a:xfrm>
                        <a:prstGeom prst="rect">
                          <a:avLst/>
                        </a:prstGeom>
                        <a:solidFill>
                          <a:srgbClr val="FFFFFF"/>
                        </a:solidFill>
                        <a:ln w="9525">
                          <a:solidFill>
                            <a:srgbClr val="000000"/>
                          </a:solidFill>
                          <a:miter lim="800000"/>
                          <a:headEnd/>
                          <a:tailEnd/>
                        </a:ln>
                      </wps:spPr>
                      <wps:txbx>
                        <w:txbxContent>
                          <w:p w:rsidR="003E2C9D" w:rsidRPr="00526EDD" w:rsidRDefault="003E2C9D" w:rsidP="003E2C9D">
                            <w:r w:rsidRPr="00526EDD">
                              <w:t xml:space="preserve">Transport infrastructure influences the transport choices available to people and </w:t>
                            </w:r>
                            <w:r>
                              <w:t xml:space="preserve">to those shipping goods and </w:t>
                            </w:r>
                            <w:r w:rsidRPr="00526EDD">
                              <w:t>thereby influences health, inequalities and environments. In many countries an emphasis on roads encourages motor traffic which has many negative health and environmental consequences. It is often believed that spending on roads will reduce congestion but the evidence shows that this is not the case</w:t>
                            </w:r>
                            <w:r>
                              <w:t>.</w:t>
                            </w:r>
                            <w:r w:rsidRPr="00526EDD">
                              <w:t xml:space="preserve"> </w:t>
                            </w:r>
                            <w:r>
                              <w:t>I</w:t>
                            </w:r>
                            <w:r w:rsidRPr="00526EDD">
                              <w:t>n the long run it makes congestion worse by generating traffic whereas investment in alternative</w:t>
                            </w:r>
                            <w:r>
                              <w:t xml:space="preserve"> modes </w:t>
                            </w:r>
                            <w:r w:rsidRPr="00526EDD">
                              <w:t xml:space="preserve">improves congestion by creating more options. There should therefore be a </w:t>
                            </w:r>
                            <w:r>
                              <w:t xml:space="preserve">greater </w:t>
                            </w:r>
                            <w:r w:rsidRPr="00526EDD">
                              <w:t>focus on walking, cycling, public transport, railways and canals/ coastal shipping.</w:t>
                            </w:r>
                          </w:p>
                          <w:p w:rsidR="003E2C9D" w:rsidRPr="00526EDD" w:rsidRDefault="003E2C9D" w:rsidP="003E2C9D">
                            <w:r w:rsidRPr="00526EDD">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BA3DDB" id="_x0000_t202" coordsize="21600,21600" o:spt="202" path="m,l,21600r21600,l21600,xe">
                <v:stroke joinstyle="miter"/>
                <v:path gradientshapeok="t" o:connecttype="rect"/>
              </v:shapetype>
              <v:shape id="Text Box 2" o:spid="_x0000_s1026" type="#_x0000_t202" style="position:absolute;margin-left:-21.75pt;margin-top:28.2pt;width:496.5pt;height:15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">
                <v:textbox>
                  <w:txbxContent>
                    <w:p w:rsidR="003E2C9D" w:rsidRPr="00526EDD" w:rsidRDefault="003E2C9D" w:rsidP="003E2C9D">
                      <w:r w:rsidRPr="00526EDD">
                        <w:t xml:space="preserve">Transport infrastructure influences the transport choices available to people and </w:t>
                      </w:r>
                      <w:r>
                        <w:t xml:space="preserve">to those shipping goods and </w:t>
                      </w:r>
                      <w:r w:rsidRPr="00526EDD">
                        <w:t>thereby influences health, inequalities and environments. In many countries an emphasis on roads encourages motor traffic which has many negative health and environmental consequences. It is often believed that spending on roads will reduce congestion but the evidence shows that this is not the case</w:t>
                      </w:r>
                      <w:r>
                        <w:t>.</w:t>
                      </w:r>
                      <w:r w:rsidRPr="00526EDD">
                        <w:t xml:space="preserve"> </w:t>
                      </w:r>
                      <w:r>
                        <w:t>I</w:t>
                      </w:r>
                      <w:bookmarkStart w:id="1" w:name="_GoBack"/>
                      <w:bookmarkEnd w:id="1"/>
                      <w:r w:rsidRPr="00526EDD">
                        <w:t>n the long run it makes congestion worse by generating traffic whereas investment in alternative</w:t>
                      </w:r>
                      <w:r>
                        <w:t xml:space="preserve"> modes </w:t>
                      </w:r>
                      <w:r w:rsidRPr="00526EDD">
                        <w:t xml:space="preserve">improves congestion by creating more options. There should therefore be a </w:t>
                      </w:r>
                      <w:r>
                        <w:t xml:space="preserve">greater </w:t>
                      </w:r>
                      <w:r w:rsidRPr="00526EDD">
                        <w:t>focus on walking, cycling, public transport, railways and canals/ coastal shipping.</w:t>
                      </w:r>
                    </w:p>
                    <w:p w:rsidR="003E2C9D" w:rsidRPr="00526EDD" w:rsidRDefault="003E2C9D" w:rsidP="003E2C9D">
                      <w:r w:rsidRPr="00526EDD">
                        <w:t xml:space="preserve"> </w:t>
                      </w:r>
                    </w:p>
                  </w:txbxContent>
                </v:textbox>
                <w10:wrap type="square"/>
              </v:shape>
            </w:pict>
          </mc:Fallback>
        </mc:AlternateContent>
      </w:r>
    </w:p>
    <w:p w:rsidR="003E2C9D" w:rsidRPr="00EC2DB0" w:rsidRDefault="003E2C9D" w:rsidP="003E2C9D">
      <w:pPr>
        <w:rPr>
          <w:lang w:eastAsia="en-GB"/>
        </w:rPr>
      </w:pPr>
    </w:p>
    <w:p w:rsidR="003E2C9D" w:rsidRPr="00EC2DB0" w:rsidRDefault="003E2C9D" w:rsidP="003E2C9D">
      <w:pPr>
        <w:rPr>
          <w:lang w:eastAsia="en-GB"/>
        </w:rPr>
      </w:pPr>
      <w:r w:rsidRPr="00EC2DB0">
        <w:rPr>
          <w:lang w:eastAsia="en-GB"/>
        </w:rPr>
        <w:t xml:space="preserve"> </w:t>
      </w:r>
    </w:p>
    <w:p w:rsidR="003E2C9D" w:rsidRPr="003E2C9D" w:rsidRDefault="003E2C9D" w:rsidP="003E2C9D">
      <w:pPr>
        <w:jc w:val="center"/>
        <w:rPr>
          <w:b/>
          <w:sz w:val="40"/>
          <w:szCs w:val="40"/>
          <w:lang w:eastAsia="en-GB"/>
        </w:rPr>
      </w:pPr>
      <w:r w:rsidRPr="003E2C9D">
        <w:rPr>
          <w:b/>
          <w:sz w:val="40"/>
          <w:szCs w:val="40"/>
          <w:lang w:eastAsia="en-GB"/>
        </w:rPr>
        <w:t>SUMMARY</w:t>
      </w:r>
    </w:p>
    <w:p w:rsidR="003E2C9D" w:rsidRPr="00EC2DB0" w:rsidRDefault="003E2C9D" w:rsidP="003E2C9D">
      <w:pPr>
        <w:rPr>
          <w:lang w:eastAsia="en-GB"/>
        </w:rPr>
      </w:pPr>
    </w:p>
    <w:p w:rsidR="003E2C9D" w:rsidRPr="00EC2DB0" w:rsidRDefault="003E2C9D" w:rsidP="003E2C9D">
      <w:pPr>
        <w:rPr>
          <w:lang w:eastAsia="en-GB"/>
        </w:rPr>
      </w:pPr>
    </w:p>
    <w:p w:rsidR="003E2C9D" w:rsidRPr="00EC2DB0" w:rsidRDefault="003E2C9D" w:rsidP="003E2C9D">
      <w:pPr>
        <w:rPr>
          <w:lang w:eastAsia="en-GB"/>
        </w:rPr>
      </w:pPr>
      <w:r w:rsidRPr="00EC2DB0">
        <w:rPr>
          <w:lang w:eastAsia="en-GB"/>
        </w:rPr>
        <w:t xml:space="preserve">A more detailed version of this document is available on our website, as is a shorter version for decision makers. </w:t>
      </w:r>
    </w:p>
    <w:p w:rsidR="003E2C9D" w:rsidRPr="00EC2DB0" w:rsidRDefault="003E2C9D" w:rsidP="003E2C9D">
      <w:r w:rsidRPr="00EC2DB0">
        <w:rPr>
          <w:lang w:eastAsia="en-GB"/>
        </w:rPr>
        <w:t>THSG policy recommendations are endorsed through THSG’s democratic structures and reflect THSG’s interpretation of</w:t>
      </w:r>
      <w:bookmarkStart w:id="0" w:name="_GoBack"/>
      <w:bookmarkEnd w:id="0"/>
      <w:r w:rsidRPr="00EC2DB0">
        <w:rPr>
          <w:lang w:eastAsia="en-GB"/>
        </w:rPr>
        <w:t xml:space="preserve"> scientific evidence.</w:t>
      </w:r>
      <w:r w:rsidRPr="00EC2DB0">
        <w:t xml:space="preserve"> </w:t>
      </w:r>
      <w:r w:rsidRPr="00EC2DB0">
        <w:br w:type="page"/>
      </w:r>
    </w:p>
    <w:p w:rsidR="003E2C9D" w:rsidRPr="003E2C9D" w:rsidRDefault="003E2C9D" w:rsidP="003E2C9D">
      <w:pPr>
        <w:jc w:val="center"/>
        <w:rPr>
          <w:b/>
        </w:rPr>
      </w:pPr>
      <w:r w:rsidRPr="003E2C9D">
        <w:rPr>
          <w:b/>
        </w:rPr>
        <w:lastRenderedPageBreak/>
        <w:t>Summary</w:t>
      </w:r>
    </w:p>
    <w:p w:rsidR="003E2C9D" w:rsidRPr="00EC2DB0" w:rsidRDefault="003E2C9D" w:rsidP="003E2C9D">
      <w:r w:rsidRPr="00EC2DB0">
        <w:t>The links between transport and health are supported by robust evidence. Ensuring prosperous and healthy cities, communities and individuals requires going beyond reducing carbon emissions. Decision-makers need to recognize these links and actively promote policies and interventions that reduce harmful environmental exposures linked to transport while promoting sustainable and active mobility. The health impacts of transport affect people of all ages and backgrounds throughout their lifetime. Some populations such as children, older people, and those with lower incomes, disabilities, and/or from minority ethnic groups can be especially vulnerable. A holistic approach to urban planning, environmental, transport energy and climate issues should be adopted, and is urgently needed.</w:t>
      </w:r>
    </w:p>
    <w:p w:rsidR="003E2C9D" w:rsidRPr="00EC2DB0" w:rsidRDefault="003E2C9D" w:rsidP="003E2C9D">
      <w:r w:rsidRPr="00EC2DB0">
        <w:t>Transport infrastructure influences health, inequalities and environments through influencing the transport choices people make. The lifestyle people choose (or have no choice in) will include the extent to which they are physically active, with levels of physical activity influencing risk of obesity, diabetes, cancer, mental health and cardiovascular disease. Walking and cycling for transport are the easiest and most practical forms of physical activity for the greatest number of people and they are also the cheapest modes to provide for and to use. Whether these can be undertaken depends on the transport environment and the distance to destinations.</w:t>
      </w:r>
    </w:p>
    <w:p w:rsidR="003E2C9D" w:rsidRPr="00EC2DB0" w:rsidRDefault="003E2C9D" w:rsidP="003E2C9D">
      <w:r w:rsidRPr="00EC2DB0">
        <w:t>Choices of travel mode in turn impact the environment. Transport can negatively impact the natural environment through noise and air pollution, disrupting areas of greenspace for people, animals and plants. This has potential health significance, for example from the loss of ecosystem services provided by pollinators. It also affects quality of life – it is increasingly being seen that physical activity in natural environments has a greater health benefit than in other environments, which might influence the design of walking and cycling routes.</w:t>
      </w:r>
    </w:p>
    <w:p w:rsidR="003E2C9D" w:rsidRPr="00EC2DB0" w:rsidRDefault="003E2C9D" w:rsidP="003E2C9D">
      <w:r w:rsidRPr="00EC2DB0">
        <w:t>Infrastructure contributes to local communities through promoting vibrant high streets [main streets], providing access to facilities, avoiding severance (‘barrier effects’ of busy roads) and maintaining links, promoting social networks and encouraging physical activity. A healthy transport system is one in which people make short journeys on foot or by cycle and make longer journeys by bus or by walking or cycling to a station and then using a train, a tram or a bus-rapid-transit system. Yet much infrastructure spending is directed towards roads and therefore promotes the opposite of what is required. It is often believed that spending on roads will reduce congestion but the evidence shows that this is not the case and that in the long run it makes congestion worse by generating traffic. However, investment in alternative modes improves congestion by creating more transport options. There should therefore be a focus on walking, cycling, public transport, railways and canals/ coastal shipping.</w:t>
      </w:r>
    </w:p>
    <w:p w:rsidR="003E2C9D" w:rsidRPr="00EC2DB0" w:rsidRDefault="003E2C9D" w:rsidP="003E2C9D">
      <w:pPr>
        <w:rPr>
          <w:rFonts w:eastAsia="Arial"/>
        </w:rPr>
      </w:pPr>
      <w:r w:rsidRPr="00EC2DB0">
        <w:t xml:space="preserve">Infrastructure varies according to context, with distances to destinations and spatial design being important factors. An infrastructure policy which will promote public health and the environment will involve: </w:t>
      </w:r>
    </w:p>
    <w:p w:rsidR="003E2C9D" w:rsidRPr="00EC2DB0" w:rsidRDefault="003E2C9D" w:rsidP="003E2C9D">
      <w:pPr>
        <w:pStyle w:val="ListParagraph"/>
        <w:numPr>
          <w:ilvl w:val="0"/>
          <w:numId w:val="1"/>
        </w:numPr>
      </w:pPr>
      <w:r w:rsidRPr="00EC2DB0">
        <w:t>avoiding the need to travel through better internet facilities and better spatial planning as a higher priority than expanding the transport system;</w:t>
      </w:r>
    </w:p>
    <w:p w:rsidR="003E2C9D" w:rsidRPr="00EC2DB0" w:rsidRDefault="003E2C9D" w:rsidP="003E2C9D">
      <w:pPr>
        <w:pStyle w:val="ListParagraph"/>
        <w:numPr>
          <w:ilvl w:val="0"/>
          <w:numId w:val="1"/>
        </w:numPr>
      </w:pPr>
      <w:r w:rsidRPr="00EC2DB0">
        <w:t>walking and cycling routes as a higher priority than facilities for cars;</w:t>
      </w:r>
    </w:p>
    <w:p w:rsidR="003E2C9D" w:rsidRPr="00EC2DB0" w:rsidRDefault="003E2C9D" w:rsidP="003E2C9D">
      <w:pPr>
        <w:pStyle w:val="ListParagraph"/>
        <w:numPr>
          <w:ilvl w:val="0"/>
          <w:numId w:val="1"/>
        </w:numPr>
      </w:pPr>
      <w:r w:rsidRPr="00EC2DB0">
        <w:t>rail or canal investment as a general higher priority than new roads;</w:t>
      </w:r>
    </w:p>
    <w:p w:rsidR="003E2C9D" w:rsidRPr="00EC2DB0" w:rsidRDefault="003E2C9D" w:rsidP="003E2C9D">
      <w:pPr>
        <w:pStyle w:val="ListParagraph"/>
        <w:numPr>
          <w:ilvl w:val="0"/>
          <w:numId w:val="1"/>
        </w:numPr>
      </w:pPr>
      <w:r w:rsidRPr="00EC2DB0">
        <w:t xml:space="preserve">local services as a general higher priority than high speed services; </w:t>
      </w:r>
    </w:p>
    <w:p w:rsidR="003E2C9D" w:rsidRPr="00EC2DB0" w:rsidRDefault="003E2C9D" w:rsidP="003E2C9D">
      <w:pPr>
        <w:pStyle w:val="ListParagraph"/>
        <w:numPr>
          <w:ilvl w:val="0"/>
          <w:numId w:val="1"/>
        </w:numPr>
      </w:pPr>
      <w:r w:rsidRPr="00EC2DB0">
        <w:t xml:space="preserve">high speed rail as a general higher priority than airports; </w:t>
      </w:r>
    </w:p>
    <w:p w:rsidR="003E2C9D" w:rsidRPr="00EC2DB0" w:rsidRDefault="003E2C9D" w:rsidP="003E2C9D">
      <w:pPr>
        <w:pStyle w:val="ListParagraph"/>
        <w:numPr>
          <w:ilvl w:val="0"/>
          <w:numId w:val="1"/>
        </w:numPr>
      </w:pPr>
      <w:r w:rsidRPr="00EC2DB0">
        <w:t xml:space="preserve">dealing with the problems of a saturated road system as a higher priority than delaying congestion by investment in road capacity; and </w:t>
      </w:r>
    </w:p>
    <w:p w:rsidR="003E2C9D" w:rsidRPr="00EC2DB0" w:rsidRDefault="003E2C9D" w:rsidP="003E2C9D">
      <w:pPr>
        <w:pStyle w:val="ListParagraph"/>
        <w:numPr>
          <w:ilvl w:val="0"/>
          <w:numId w:val="1"/>
        </w:numPr>
      </w:pPr>
      <w:r w:rsidRPr="00EC2DB0">
        <w:t>renewably generated electricity and other forms of renewable energy as the only appropriate power source for future transport systems.</w:t>
      </w:r>
    </w:p>
    <w:p w:rsidR="003E2C9D" w:rsidRPr="00EC2DB0" w:rsidRDefault="003E2C9D" w:rsidP="003E2C9D">
      <w:pPr>
        <w:rPr>
          <w:b/>
          <w:bCs/>
        </w:rPr>
      </w:pPr>
      <w:r w:rsidRPr="00EC2DB0">
        <w:t>Key factors in such a policy will be:</w:t>
      </w:r>
    </w:p>
    <w:p w:rsidR="003E2C9D" w:rsidRPr="00EC2DB0" w:rsidRDefault="003E2C9D" w:rsidP="003E2C9D">
      <w:pPr>
        <w:pStyle w:val="ListParagraph"/>
        <w:numPr>
          <w:ilvl w:val="0"/>
          <w:numId w:val="2"/>
        </w:numPr>
      </w:pPr>
      <w:r w:rsidRPr="00EC2DB0">
        <w:rPr>
          <w:b/>
          <w:bCs/>
        </w:rPr>
        <w:t>Rail expansion and equivalent reserved track systems</w:t>
      </w:r>
      <w:r w:rsidRPr="00EC2DB0">
        <w:t>. It has been demonstrated in Europe, that cities with better rail networks also see higher bus usage. The capacity to travel further, faster by rail encourages people not to use cars for their journey. It has also been demonstrated that railways promote economic growth and reduce road congestion. High quality bus services on dedicated infrastructure might fill the same role, especially in areas where the rail system is less dense than in Europe.</w:t>
      </w:r>
    </w:p>
    <w:p w:rsidR="003E2C9D" w:rsidRPr="00EC2DB0" w:rsidRDefault="003E2C9D" w:rsidP="003E2C9D">
      <w:pPr>
        <w:pStyle w:val="ListParagraph"/>
        <w:numPr>
          <w:ilvl w:val="0"/>
          <w:numId w:val="2"/>
        </w:numPr>
      </w:pPr>
      <w:r w:rsidRPr="00EC2DB0">
        <w:rPr>
          <w:b/>
          <w:bCs/>
        </w:rPr>
        <w:t>Cycle routes</w:t>
      </w:r>
      <w:r w:rsidRPr="00EC2DB0">
        <w:t>. These must be of adequate quality and safety, including where cycles must mix with road traffic e.g. junctions. Getting people cycling in towns and cities also requires a large increase in cycle parking and/or the wider expansion of shared bicycle systems. Good quality segregated or traffic-</w:t>
      </w:r>
      <w:proofErr w:type="gramStart"/>
      <w:r w:rsidRPr="00EC2DB0">
        <w:t>free  cycle</w:t>
      </w:r>
      <w:proofErr w:type="gramEnd"/>
      <w:r w:rsidRPr="00EC2DB0">
        <w:t xml:space="preserve"> paths linking quiet streets through cycle routes, and long continuous quiet routes formed by closing rat runs are popular with established and novice cyclists alike. Where they are feasible, they should be a high priority for cycling investment. They should be available to tricycles and hand cycles. Cycling is more difficult in hilly areas. Electrically assisted bikes can assist with this problem but there are a number of issues with the use of such bicycles which lie beyond the scope of this policy.</w:t>
      </w:r>
    </w:p>
    <w:p w:rsidR="003E2C9D" w:rsidRPr="00EC2DB0" w:rsidRDefault="003E2C9D" w:rsidP="003E2C9D">
      <w:pPr>
        <w:pStyle w:val="ListParagraph"/>
        <w:numPr>
          <w:ilvl w:val="0"/>
          <w:numId w:val="2"/>
        </w:numPr>
      </w:pPr>
      <w:r w:rsidRPr="00EC2DB0">
        <w:rPr>
          <w:b/>
          <w:bCs/>
        </w:rPr>
        <w:t>Buses, guided buses, tramways etc.</w:t>
      </w:r>
      <w:r w:rsidRPr="00EC2DB0">
        <w:t xml:space="preserve"> Bus rapid transit systems (high quality frequent limited stop bus services with dedicated road capacity) provide vital opportunities for rapid transit in large urban areas. If feasible, mixing light and heavy rail use in the same tracks may offer innovative solutions to crowding and surge responsiveness, as well as allowing links to light rail systems or capacity enhancement by parallel street tramways, although mixing trains of different speeds on the same line does reduce track capacity. Whether this is problematic will depend on circumstances and may sometimes be addressed by resignalling.</w:t>
      </w:r>
    </w:p>
    <w:p w:rsidR="003E2C9D" w:rsidRPr="00EC2DB0" w:rsidRDefault="003E2C9D" w:rsidP="003E2C9D">
      <w:r w:rsidRPr="00EC2DB0">
        <w:t>Pursuing such an infrastructure policy to a degree at which it makes alternatives to the car a viable choice for almost all journeys, and thereby allows a widespread shift away from car use, will be impossible within current resource constraints in almost all countries. If there is an ambition to achieve this, it would be necessary to develop a different approach to resources which:</w:t>
      </w:r>
    </w:p>
    <w:p w:rsidR="003E2C9D" w:rsidRPr="00EC2DB0" w:rsidRDefault="003E2C9D" w:rsidP="003E2C9D">
      <w:pPr>
        <w:pStyle w:val="ListParagraph"/>
        <w:numPr>
          <w:ilvl w:val="0"/>
          <w:numId w:val="3"/>
        </w:numPr>
      </w:pPr>
      <w:r w:rsidRPr="00EC2DB0">
        <w:t>No longer overestimates the congestion benefits of roads. Evidence has shown that building new roads or expanding existing ones only temporarily reduces congestion. Very soon people and organisations take advantage of this new situation to increase their car use or to relocate until congestion returns and brings this process to an end.</w:t>
      </w:r>
    </w:p>
    <w:p w:rsidR="003E2C9D" w:rsidRPr="00EC2DB0" w:rsidRDefault="003E2C9D" w:rsidP="003E2C9D">
      <w:pPr>
        <w:pStyle w:val="ListParagraph"/>
        <w:numPr>
          <w:ilvl w:val="0"/>
          <w:numId w:val="3"/>
        </w:numPr>
      </w:pPr>
      <w:r w:rsidRPr="00EC2DB0">
        <w:t>No longer underestimates the network benefits of comprehensive public transport systems; but instead recognises their importance in enabling public transport to substitute for the car.</w:t>
      </w:r>
    </w:p>
    <w:p w:rsidR="003E2C9D" w:rsidRPr="00EC2DB0" w:rsidRDefault="003E2C9D" w:rsidP="003E2C9D">
      <w:pPr>
        <w:pStyle w:val="ListParagraph"/>
        <w:numPr>
          <w:ilvl w:val="0"/>
          <w:numId w:val="3"/>
        </w:numPr>
      </w:pPr>
      <w:r w:rsidRPr="00EC2DB0">
        <w:t xml:space="preserve">Recognises non-user benefits through benefit capture and taxation of externalities. Benefit capture ensures non-user benefits (such as land use values increasing when an area is served by a railway) are turned into a funding flow through a charge or tax. Simultaneously, social benefits (such as good air quality) are made a funding flow by taxing their opposite with a green tax, thus creating an economic incentive to avoid the tax. Road user taxes can disincentivise car travel and could be used to fund projects which make roads less congested and more usable i.e. new or improved public transport infrastructure. </w:t>
      </w:r>
    </w:p>
    <w:p w:rsidR="003E2C9D" w:rsidRPr="00EC2DB0" w:rsidRDefault="003E2C9D" w:rsidP="003E2C9D">
      <w:pPr>
        <w:pStyle w:val="ListParagraph"/>
        <w:numPr>
          <w:ilvl w:val="0"/>
          <w:numId w:val="3"/>
        </w:numPr>
      </w:pPr>
      <w:r w:rsidRPr="00EC2DB0">
        <w:t>Recognises road danger as a key issue</w:t>
      </w:r>
    </w:p>
    <w:p w:rsidR="003E2C9D" w:rsidRPr="00EC2DB0" w:rsidRDefault="003E2C9D" w:rsidP="003E2C9D">
      <w:pPr>
        <w:pStyle w:val="ListParagraph"/>
        <w:numPr>
          <w:ilvl w:val="0"/>
          <w:numId w:val="2"/>
        </w:numPr>
      </w:pPr>
      <w:r w:rsidRPr="00EC2DB0">
        <w:t>Within the context of such an ambition and such a resource strategy various options which might currently seem unrealistic might well have a place:</w:t>
      </w:r>
    </w:p>
    <w:p w:rsidR="003E2C9D" w:rsidRPr="00307C6D" w:rsidRDefault="003E2C9D" w:rsidP="003E2C9D">
      <w:pPr>
        <w:pStyle w:val="ListParagraph"/>
        <w:numPr>
          <w:ilvl w:val="0"/>
          <w:numId w:val="2"/>
        </w:numPr>
        <w:rPr>
          <w:lang w:val="fr-FR"/>
        </w:rPr>
      </w:pPr>
      <w:r w:rsidRPr="00307C6D">
        <w:rPr>
          <w:b/>
          <w:bCs/>
          <w:lang w:val="fr-FR"/>
        </w:rPr>
        <w:t>Train/Cycle combinations</w:t>
      </w:r>
      <w:r w:rsidRPr="00307C6D">
        <w:rPr>
          <w:lang w:val="fr-FR"/>
        </w:rPr>
        <w:t xml:space="preserve"> as a </w:t>
      </w:r>
      <w:proofErr w:type="spellStart"/>
      <w:r w:rsidRPr="00307C6D">
        <w:rPr>
          <w:lang w:val="fr-FR"/>
        </w:rPr>
        <w:t>specific</w:t>
      </w:r>
      <w:proofErr w:type="spellEnd"/>
      <w:r w:rsidRPr="00307C6D">
        <w:rPr>
          <w:lang w:val="fr-FR"/>
        </w:rPr>
        <w:t xml:space="preserve"> transport mode.</w:t>
      </w:r>
    </w:p>
    <w:p w:rsidR="003E2C9D" w:rsidRPr="00EC2DB0" w:rsidRDefault="003E2C9D" w:rsidP="003E2C9D">
      <w:pPr>
        <w:pStyle w:val="ListParagraph"/>
        <w:numPr>
          <w:ilvl w:val="0"/>
          <w:numId w:val="2"/>
        </w:numPr>
      </w:pPr>
      <w:r w:rsidRPr="00EC2DB0">
        <w:t>Lorry-carrying trains</w:t>
      </w:r>
    </w:p>
    <w:p w:rsidR="003E2C9D" w:rsidRPr="00EC2DB0" w:rsidRDefault="003E2C9D" w:rsidP="003E2C9D">
      <w:pPr>
        <w:pStyle w:val="ListParagraph"/>
        <w:numPr>
          <w:ilvl w:val="0"/>
          <w:numId w:val="2"/>
        </w:numPr>
      </w:pPr>
      <w:r w:rsidRPr="00EC2DB0">
        <w:t>Mixed Road/Rail Infrastructure</w:t>
      </w:r>
    </w:p>
    <w:p w:rsidR="003E2C9D" w:rsidRPr="00EC2DB0" w:rsidRDefault="003E2C9D" w:rsidP="003E2C9D">
      <w:pPr>
        <w:pStyle w:val="ListParagraph"/>
        <w:numPr>
          <w:ilvl w:val="0"/>
          <w:numId w:val="2"/>
        </w:numPr>
      </w:pPr>
      <w:r w:rsidRPr="00EC2DB0">
        <w:t xml:space="preserve">Cycle freight </w:t>
      </w:r>
    </w:p>
    <w:p w:rsidR="003E2C9D" w:rsidRPr="00EC2DB0" w:rsidRDefault="003E2C9D" w:rsidP="003E2C9D">
      <w:pPr>
        <w:pStyle w:val="ListParagraph"/>
        <w:numPr>
          <w:ilvl w:val="0"/>
          <w:numId w:val="2"/>
        </w:numPr>
      </w:pPr>
      <w:r w:rsidRPr="00EC2DB0">
        <w:rPr>
          <w:b/>
          <w:bCs/>
        </w:rPr>
        <w:t>Novel transport modes</w:t>
      </w:r>
      <w:r w:rsidRPr="00EC2DB0">
        <w:t>, such as maglev/hyperloop, high speed miniature railways on greenways, connected and semi-autonomous vehicles, and very light rail</w:t>
      </w:r>
    </w:p>
    <w:p w:rsidR="003E2C9D" w:rsidRPr="00EC2DB0" w:rsidRDefault="003E2C9D" w:rsidP="003E2C9D">
      <w:pPr>
        <w:pStyle w:val="ListParagraph"/>
        <w:numPr>
          <w:ilvl w:val="0"/>
          <w:numId w:val="2"/>
        </w:numPr>
      </w:pPr>
      <w:r w:rsidRPr="00EC2DB0">
        <w:rPr>
          <w:b/>
          <w:bCs/>
        </w:rPr>
        <w:t>A new approach to motorways</w:t>
      </w:r>
      <w:r w:rsidRPr="00EC2DB0">
        <w:t xml:space="preserve"> which aims to provide facilities for a range of different transport modes</w:t>
      </w:r>
    </w:p>
    <w:p w:rsidR="003E2C9D" w:rsidRPr="00EC2DB0" w:rsidRDefault="003E2C9D" w:rsidP="003E2C9D">
      <w:pPr>
        <w:pStyle w:val="ListParagraph"/>
      </w:pPr>
    </w:p>
    <w:p w:rsidR="003E2C9D" w:rsidRPr="00EC2DB0" w:rsidRDefault="003E2C9D" w:rsidP="003E2C9D">
      <w:pPr>
        <w:pStyle w:val="ListParagraph"/>
      </w:pPr>
    </w:p>
    <w:p w:rsidR="00045155" w:rsidRDefault="003E2C9D" w:rsidP="003E2C9D">
      <w:pPr>
        <w:pStyle w:val="ListParagraph"/>
      </w:pPr>
      <w:r w:rsidRPr="00EC2DB0">
        <w:t>For those who wish to pursue such an ambitious strategy these ideas are developed in the longer version of this document.</w:t>
      </w:r>
    </w:p>
    <w:sectPr w:rsidR="00045155">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3A5" w:rsidRDefault="00F333A5" w:rsidP="003E2C9D">
      <w:pPr>
        <w:spacing w:after="0" w:line="240" w:lineRule="auto"/>
      </w:pPr>
      <w:r>
        <w:separator/>
      </w:r>
    </w:p>
  </w:endnote>
  <w:endnote w:type="continuationSeparator" w:id="0">
    <w:p w:rsidR="00F333A5" w:rsidRDefault="00F333A5" w:rsidP="003E2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0633590"/>
      <w:docPartObj>
        <w:docPartGallery w:val="Page Numbers (Bottom of Page)"/>
        <w:docPartUnique/>
      </w:docPartObj>
    </w:sdtPr>
    <w:sdtEndPr/>
    <w:sdtContent>
      <w:p w:rsidR="005079C1" w:rsidRPr="00526EDD" w:rsidRDefault="007B77CC" w:rsidP="00EC2DB0">
        <w:pPr>
          <w:pStyle w:val="Footer"/>
        </w:pPr>
        <w:r w:rsidRPr="00A03ECC">
          <w:fldChar w:fldCharType="begin"/>
        </w:r>
        <w:r w:rsidRPr="00526EDD">
          <w:instrText xml:space="preserve"> PAGE   \* MERGEFORMAT </w:instrText>
        </w:r>
        <w:r w:rsidRPr="00A03ECC">
          <w:fldChar w:fldCharType="separate"/>
        </w:r>
        <w:r w:rsidRPr="00A03ECC">
          <w:t>2</w:t>
        </w:r>
        <w:r w:rsidRPr="00A03ECC">
          <w:fldChar w:fldCharType="end"/>
        </w:r>
        <w:r w:rsidR="003E2C9D">
          <w:t xml:space="preserve">                                                                           </w:t>
        </w:r>
        <w:r w:rsidR="00A610D6">
          <w:t>Approved by THSG Board 30.10.25</w:t>
        </w:r>
      </w:p>
    </w:sdtContent>
  </w:sdt>
  <w:p w:rsidR="005079C1" w:rsidRPr="00526EDD" w:rsidRDefault="00F333A5" w:rsidP="00EC2D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9C1" w:rsidRPr="00526EDD" w:rsidRDefault="007B77CC" w:rsidP="00EC2DB0">
    <w:pPr>
      <w:pStyle w:val="Footer"/>
    </w:pPr>
    <w:r>
      <w:t>14.10.25</w:t>
    </w:r>
    <w:r w:rsidRPr="00526EDD">
      <w:t xml:space="preserve"> v </w:t>
    </w:r>
    <w:r>
      <w:t>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3A5" w:rsidRDefault="00F333A5" w:rsidP="003E2C9D">
      <w:pPr>
        <w:spacing w:after="0" w:line="240" w:lineRule="auto"/>
      </w:pPr>
      <w:r>
        <w:separator/>
      </w:r>
    </w:p>
  </w:footnote>
  <w:footnote w:type="continuationSeparator" w:id="0">
    <w:p w:rsidR="00F333A5" w:rsidRDefault="00F333A5" w:rsidP="003E2C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BD4"/>
    <w:multiLevelType w:val="hybridMultilevel"/>
    <w:tmpl w:val="E862A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11A84"/>
    <w:multiLevelType w:val="hybridMultilevel"/>
    <w:tmpl w:val="E3107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49537F"/>
    <w:multiLevelType w:val="multilevel"/>
    <w:tmpl w:val="462C7626"/>
    <w:lvl w:ilvl="0">
      <w:start w:val="1"/>
      <w:numFmt w:val="bullet"/>
      <w:lvlText w:val=""/>
      <w:lvlJc w:val="left"/>
      <w:pPr>
        <w:tabs>
          <w:tab w:val="num" w:pos="0"/>
        </w:tabs>
        <w:ind w:left="360" w:hanging="360"/>
      </w:pPr>
      <w:rPr>
        <w:rFonts w:ascii="Symbol" w:hAnsi="Symbol"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o"/>
      <w:lvlJc w:val="left"/>
      <w:pPr>
        <w:tabs>
          <w:tab w:val="num" w:pos="0"/>
        </w:tabs>
        <w:ind w:left="108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0"/>
        </w:tabs>
        <w:ind w:left="180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0"/>
        </w:tabs>
        <w:ind w:left="25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4">
      <w:start w:val="1"/>
      <w:numFmt w:val="bullet"/>
      <w:lvlText w:val="o"/>
      <w:lvlJc w:val="left"/>
      <w:pPr>
        <w:tabs>
          <w:tab w:val="num" w:pos="0"/>
        </w:tabs>
        <w:ind w:left="324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0"/>
        </w:tabs>
        <w:ind w:left="39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0"/>
        </w:tabs>
        <w:ind w:left="468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7">
      <w:start w:val="1"/>
      <w:numFmt w:val="bullet"/>
      <w:lvlText w:val="o"/>
      <w:lvlJc w:val="left"/>
      <w:pPr>
        <w:tabs>
          <w:tab w:val="num" w:pos="0"/>
        </w:tabs>
        <w:ind w:left="540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0"/>
        </w:tabs>
        <w:ind w:left="612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C9D"/>
    <w:rsid w:val="00045155"/>
    <w:rsid w:val="00224A1C"/>
    <w:rsid w:val="003E2C9D"/>
    <w:rsid w:val="00697A16"/>
    <w:rsid w:val="007B77CC"/>
    <w:rsid w:val="00A610D6"/>
    <w:rsid w:val="00D3369D"/>
    <w:rsid w:val="00F33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839B4"/>
  <w15:chartTrackingRefBased/>
  <w15:docId w15:val="{F5DA8B47-22B4-447D-B42E-FBD8D9DC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C9D"/>
    <w:pPr>
      <w:spacing w:after="120" w:line="278" w:lineRule="auto"/>
      <w:outlineLvl w:val="0"/>
    </w:pPr>
    <w:rPr>
      <w:rFonts w:cs="Arial"/>
      <w:kern w:val="2"/>
      <w:szCs w:val="24"/>
      <w:lang w:bidi="he-I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E2C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C9D"/>
    <w:rPr>
      <w:rFonts w:cs="Arial"/>
      <w:kern w:val="2"/>
      <w:szCs w:val="24"/>
      <w:lang w:bidi="he-IL"/>
      <w14:ligatures w14:val="standardContextual"/>
    </w:rPr>
  </w:style>
  <w:style w:type="paragraph" w:styleId="ListParagraph">
    <w:name w:val="List Paragraph"/>
    <w:basedOn w:val="Normal"/>
    <w:uiPriority w:val="34"/>
    <w:qFormat/>
    <w:rsid w:val="003E2C9D"/>
    <w:pPr>
      <w:ind w:left="720"/>
      <w:contextualSpacing/>
    </w:pPr>
  </w:style>
  <w:style w:type="paragraph" w:styleId="Header">
    <w:name w:val="header"/>
    <w:basedOn w:val="Normal"/>
    <w:link w:val="HeaderChar"/>
    <w:uiPriority w:val="99"/>
    <w:unhideWhenUsed/>
    <w:rsid w:val="003E2C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C9D"/>
    <w:rPr>
      <w:rFonts w:cs="Arial"/>
      <w:kern w:val="2"/>
      <w:szCs w:val="24"/>
      <w:lang w:bidi="he-I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transportandhealth.org.uk/wp-content/uploads/2019/07/THSG-lOGO-17-07-2019.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1275</Words>
  <Characters>7271</Characters>
  <Application>Microsoft Office Word</Application>
  <DocSecurity>0</DocSecurity>
  <Lines>60</Lines>
  <Paragraphs>17</Paragraphs>
  <ScaleCrop>false</ScaleCrop>
  <HeadingPairs>
    <vt:vector size="4" baseType="variant">
      <vt:variant>
        <vt:lpstr>Title</vt:lpstr>
      </vt:variant>
      <vt:variant>
        <vt:i4>1</vt:i4>
      </vt:variant>
      <vt:variant>
        <vt:lpstr>Headings</vt:lpstr>
      </vt:variant>
      <vt:variant>
        <vt:i4>46</vt:i4>
      </vt:variant>
    </vt:vector>
  </HeadingPairs>
  <TitlesOfParts>
    <vt:vector size="47" baseType="lpstr">
      <vt:lpstr/>
      <vt:lpstr>/</vt:lpstr>
      <vt:lpstr>A charitable incorporated organisation</vt:lpstr>
      <vt:lpstr>England &amp; Wales charity number 1192138</vt:lpstr>
      <vt:lpstr/>
      <vt:lpstr>VISION AND POLICY RECOMMENDATIONS ON</vt:lpstr>
      <vt:lpstr>INFRASTRUCTURE</vt:lpstr>
      <vt:lpstr>/</vt:lpstr>
      <vt:lpstr/>
      <vt:lpstr/>
      <vt:lpstr>SUMMARY</vt:lpstr>
      <vt:lpstr/>
      <vt:lpstr/>
      <vt:lpstr>A more detailed version of this document is available on our website, as is a sh</vt:lpstr>
      <vt:lpstr>THSG policy recommendations are endorsed through THSG’s democratic structures an</vt:lpstr>
      <vt:lpstr>Summary</vt:lpstr>
      <vt:lpstr>The links between transport and health are supported by robust evidence. Ensurin</vt:lpstr>
      <vt:lpstr>Transport infrastructure influences health, inequalities and environments throug</vt:lpstr>
      <vt:lpstr>Choices of travel mode in turn impact the environment. Transport can negatively </vt:lpstr>
      <vt:lpstr>Infrastructure contributes to local communities through promoting vibrant high s</vt:lpstr>
      <vt:lpstr>Infrastructure varies according to context, with distances to destinations and s</vt:lpstr>
      <vt:lpstr>avoiding the need to travel through better internet facilities and better spatia</vt:lpstr>
      <vt:lpstr>walking and cycling routes as a higher priority than facilities for cars;</vt:lpstr>
      <vt:lpstr>rail or canal investment as a general higher priority than new roads;</vt:lpstr>
      <vt:lpstr>local services as a general higher priority than high speed services; </vt:lpstr>
      <vt:lpstr>high speed rail as a general higher priority than airports; </vt:lpstr>
      <vt:lpstr>dealing with the problems of a saturated road system as a higher priority than d</vt:lpstr>
      <vt:lpstr>renewably generated electricity and other forms of renewable energy as the only </vt:lpstr>
      <vt:lpstr>Key factors in such a policy will be:</vt:lpstr>
      <vt:lpstr>Rail expansion and equivalent reserved track systems. It has been demonstrated i</vt:lpstr>
      <vt:lpstr>Cycle routes. These must be of adequate quality and safety, including where cycl</vt:lpstr>
      <vt:lpstr>Buses, guided buses, tramways etc. Bus rapid transit systems (high quality frequ</vt:lpstr>
      <vt:lpstr>Pursuing such an infrastructure policy to a degree at which it makes alternative</vt:lpstr>
      <vt:lpstr>No longer overestimates the congestion benefits of roads. Evidence has shown tha</vt:lpstr>
      <vt:lpstr>No longer underestimates the network benefits of comprehensive public transport </vt:lpstr>
      <vt:lpstr>Recognises non-user benefits through benefit capture and taxation of externaliti</vt:lpstr>
      <vt:lpstr>Recognises road danger as a key issue</vt:lpstr>
      <vt:lpstr>Within the context of such an ambition and such a resource strategy various opti</vt:lpstr>
      <vt:lpstr>Train/Cycle combinations as a specific transport mode.</vt:lpstr>
      <vt:lpstr>Lorry-carrying trains</vt:lpstr>
      <vt:lpstr>Mixed Road/Rail Infrastructure</vt:lpstr>
      <vt:lpstr>Cycle freight </vt:lpstr>
      <vt:lpstr>Novel transport modes, such as maglev/hyperloop, high speed miniature railways o</vt:lpstr>
      <vt:lpstr>A new approach to motorways which aims to provide facilities for a range of diff</vt:lpstr>
      <vt:lpstr/>
      <vt:lpstr/>
      <vt:lpstr>For those who wish to pursue such an ambitious strategy these ideas are develope</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dc:creator>
  <cp:keywords/>
  <dc:description/>
  <cp:lastModifiedBy>Watkins</cp:lastModifiedBy>
  <cp:revision>2</cp:revision>
  <dcterms:created xsi:type="dcterms:W3CDTF">2025-11-06T16:49:00Z</dcterms:created>
  <dcterms:modified xsi:type="dcterms:W3CDTF">2025-11-06T16:49:00Z</dcterms:modified>
</cp:coreProperties>
</file>