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5AA5D" w14:textId="77777777" w:rsidR="00816D03" w:rsidRDefault="009F0B9B" w:rsidP="009F0B9B">
      <w:pPr>
        <w:pStyle w:val="Title"/>
      </w:pPr>
      <w:r w:rsidRPr="009F0B9B">
        <w:t>THSG Policy on Trustees’ Conflicts of Interest</w:t>
      </w:r>
      <w:r w:rsidR="00E433AB">
        <w:t xml:space="preserve"> and </w:t>
      </w:r>
      <w:r w:rsidR="009F7C97">
        <w:t xml:space="preserve">on </w:t>
      </w:r>
      <w:r w:rsidR="00E433AB">
        <w:t>Bribery</w:t>
      </w:r>
    </w:p>
    <w:p w14:paraId="18858748" w14:textId="77777777" w:rsidR="009F0B9B" w:rsidRDefault="009F0B9B" w:rsidP="009F0B9B">
      <w:pPr>
        <w:rPr>
          <w:b/>
          <w:bCs/>
        </w:rPr>
      </w:pPr>
      <w:r w:rsidRPr="00CE5F32">
        <w:rPr>
          <w:b/>
          <w:bCs/>
          <w:sz w:val="24"/>
          <w:szCs w:val="24"/>
        </w:rPr>
        <w:t>The following policy is based on Standing Orders 1</w:t>
      </w:r>
      <w:r w:rsidR="00E433AB">
        <w:rPr>
          <w:b/>
          <w:bCs/>
          <w:sz w:val="24"/>
          <w:szCs w:val="24"/>
        </w:rPr>
        <w:t>20</w:t>
      </w:r>
      <w:r w:rsidRPr="00CE5F32">
        <w:rPr>
          <w:b/>
          <w:bCs/>
          <w:sz w:val="24"/>
          <w:szCs w:val="24"/>
        </w:rPr>
        <w:t>A to 1</w:t>
      </w:r>
      <w:r w:rsidR="00E433AB">
        <w:rPr>
          <w:b/>
          <w:bCs/>
          <w:sz w:val="24"/>
          <w:szCs w:val="24"/>
        </w:rPr>
        <w:t>20G, and 127A to 127</w:t>
      </w:r>
      <w:r w:rsidR="00071321">
        <w:rPr>
          <w:b/>
          <w:bCs/>
          <w:sz w:val="24"/>
          <w:szCs w:val="24"/>
        </w:rPr>
        <w:t>Q</w:t>
      </w:r>
      <w:r w:rsidRPr="00CE5F32">
        <w:rPr>
          <w:b/>
          <w:bCs/>
          <w:sz w:val="24"/>
          <w:szCs w:val="24"/>
        </w:rPr>
        <w:t xml:space="preserve"> of the Rules of the Transport and Health Science Group (THSG) 14.12.2023</w:t>
      </w:r>
      <w:r>
        <w:t>.</w:t>
      </w:r>
      <w:r w:rsidRPr="00CE5F32">
        <w:rPr>
          <w:b/>
          <w:bCs/>
        </w:rPr>
        <w:t xml:space="preserve"> </w:t>
      </w:r>
    </w:p>
    <w:p w14:paraId="55A3924C" w14:textId="77777777" w:rsidR="009F0B9B" w:rsidRDefault="009F0B9B" w:rsidP="009F0B9B">
      <w:pPr>
        <w:rPr>
          <w:b/>
          <w:bCs/>
          <w:sz w:val="24"/>
          <w:szCs w:val="24"/>
        </w:rPr>
      </w:pPr>
      <w:r w:rsidRPr="009F0B9B">
        <w:rPr>
          <w:b/>
          <w:bCs/>
          <w:sz w:val="24"/>
          <w:szCs w:val="24"/>
        </w:rPr>
        <w:t>This policy has the authority of formal Standing Orders.</w:t>
      </w:r>
    </w:p>
    <w:p w14:paraId="7F304FD6" w14:textId="77777777" w:rsidR="00E433AB" w:rsidRDefault="00E433AB" w:rsidP="00E433AB">
      <w:pPr>
        <w:pStyle w:val="Heading1"/>
      </w:pPr>
      <w:r>
        <w:t>Trustees’ Conflicts of Interest</w:t>
      </w:r>
    </w:p>
    <w:p w14:paraId="7B73C9F6" w14:textId="77777777" w:rsidR="003739AE" w:rsidRDefault="003739AE" w:rsidP="003739AE">
      <w:pPr>
        <w:pStyle w:val="Heading2"/>
      </w:pPr>
      <w:r>
        <w:t>Background and Definitions</w:t>
      </w:r>
    </w:p>
    <w:p w14:paraId="2417E113" w14:textId="77777777" w:rsidR="003739AE" w:rsidRDefault="003739AE" w:rsidP="0057086F">
      <w:pPr>
        <w:pStyle w:val="ListParagraph"/>
      </w:pPr>
      <w:r w:rsidRPr="00E433AB">
        <w:t>A conflict of interest arises in any situation in which a trustee’s personal interests or loyalties could, or could be seen to, prevent the trustee from making a decision only in the best interests of the charity. A conflict of interest exists even where there is the possibility that a trustee’s personal or wider interests could influence the trustee’s decision making. Trustees must not allow their personal interests to interfere with their independent governance of the charity and their proper decision making. Any potential effect on decision making that a personal interest may have must be eliminated, so that the board’s decision will be, and will be seen to be, taken independently in the best interests of the charity.</w:t>
      </w:r>
    </w:p>
    <w:p w14:paraId="43224F5F" w14:textId="47FD3651" w:rsidR="003739AE" w:rsidRPr="00E433AB" w:rsidRDefault="003739AE" w:rsidP="003739AE">
      <w:pPr>
        <w:pStyle w:val="ListParagraph"/>
      </w:pPr>
      <w:r w:rsidRPr="00E433AB">
        <w:t xml:space="preserve">Interests of members of </w:t>
      </w:r>
      <w:r>
        <w:t xml:space="preserve">the trustee’s </w:t>
      </w:r>
      <w:r w:rsidRPr="00E433AB">
        <w:t xml:space="preserve">household or of close members of </w:t>
      </w:r>
      <w:r>
        <w:t xml:space="preserve">their </w:t>
      </w:r>
      <w:r w:rsidRPr="00E433AB">
        <w:t xml:space="preserve">family (spouse, partner, parent, sibling, child or grandchild) should be included if </w:t>
      </w:r>
      <w:r>
        <w:t>they</w:t>
      </w:r>
      <w:r w:rsidRPr="00E433AB">
        <w:t xml:space="preserve"> are aware of them.</w:t>
      </w:r>
    </w:p>
    <w:p w14:paraId="164BD591" w14:textId="77777777" w:rsidR="003739AE" w:rsidRPr="003739AE" w:rsidRDefault="003739AE" w:rsidP="003739AE">
      <w:pPr>
        <w:pStyle w:val="Heading2"/>
      </w:pPr>
      <w:r>
        <w:t>Policy</w:t>
      </w:r>
    </w:p>
    <w:p w14:paraId="764CDE49" w14:textId="77777777" w:rsidR="00E433AB" w:rsidRPr="00E433AB" w:rsidRDefault="00E433AB" w:rsidP="00E433AB">
      <w:pPr>
        <w:pStyle w:val="ListParagraph"/>
      </w:pPr>
      <w:r w:rsidRPr="00E433AB">
        <w:t xml:space="preserve">Trustees shall make a declaration of interests that may be relevant to the work of the charity at the time of their appointment and thereafter shall review it at least annually and whenever they become aware of any change. </w:t>
      </w:r>
    </w:p>
    <w:p w14:paraId="7DF882B6" w14:textId="77777777" w:rsidR="009A7853" w:rsidRDefault="00E433AB" w:rsidP="00E433AB">
      <w:pPr>
        <w:pStyle w:val="ListParagraph"/>
      </w:pPr>
      <w:r w:rsidRPr="00E433AB">
        <w:t xml:space="preserve">Trustees shall disclose any interest in a </w:t>
      </w:r>
      <w:r w:rsidRPr="00C87EB1">
        <w:t xml:space="preserve">proposed </w:t>
      </w:r>
      <w:r w:rsidR="009A7853" w:rsidRPr="00C87EB1">
        <w:t xml:space="preserve">or existing </w:t>
      </w:r>
      <w:r w:rsidRPr="00C87EB1">
        <w:t>transaction or</w:t>
      </w:r>
      <w:r w:rsidRPr="00E433AB">
        <w:t xml:space="preserve"> arrangement</w:t>
      </w:r>
      <w:r w:rsidR="005C01A5">
        <w:t>.</w:t>
      </w:r>
      <w:r w:rsidR="009A7853">
        <w:t xml:space="preserve"> </w:t>
      </w:r>
      <w:r w:rsidRPr="00E433AB">
        <w:t xml:space="preserve">This duty has a very wide application. It arises if a trustee is in any way, directly or indirectly, interested in a proposed </w:t>
      </w:r>
      <w:r w:rsidR="009A7853">
        <w:t xml:space="preserve">or existing </w:t>
      </w:r>
      <w:r w:rsidRPr="00E433AB">
        <w:t xml:space="preserve">transaction or arrangement with the charity. </w:t>
      </w:r>
      <w:r w:rsidR="009A7853">
        <w:t>The duty to disclose</w:t>
      </w:r>
      <w:r w:rsidR="009A7853" w:rsidRPr="00E433AB">
        <w:t xml:space="preserve"> arises when the director become aware of the interest.</w:t>
      </w:r>
    </w:p>
    <w:p w14:paraId="41BB8B69" w14:textId="77777777" w:rsidR="009A7853" w:rsidRDefault="00E433AB" w:rsidP="00E433AB">
      <w:pPr>
        <w:pStyle w:val="ListParagraph"/>
      </w:pPr>
      <w:r w:rsidRPr="00E433AB">
        <w:t xml:space="preserve">The disclosure must: </w:t>
      </w:r>
    </w:p>
    <w:p w14:paraId="52E00865" w14:textId="77777777" w:rsidR="009A7853" w:rsidRDefault="00E433AB" w:rsidP="009A7853">
      <w:pPr>
        <w:pStyle w:val="ListParagraph"/>
        <w:numPr>
          <w:ilvl w:val="1"/>
          <w:numId w:val="1"/>
        </w:numPr>
      </w:pPr>
      <w:r w:rsidRPr="00E433AB">
        <w:t>be made before the company enters into the transaction or arrangement and be made to the other trustees</w:t>
      </w:r>
      <w:r w:rsidR="002617AB">
        <w:t>, and as soon as the director becomes aware of the potential conflict of interest</w:t>
      </w:r>
      <w:r w:rsidRPr="00E433AB">
        <w:t xml:space="preserve"> (i.e. the board as a whole, disclosure to a committee or sub-committee does not suffice), </w:t>
      </w:r>
    </w:p>
    <w:p w14:paraId="77AEEEF1" w14:textId="77777777" w:rsidR="009A7853" w:rsidRDefault="00E433AB" w:rsidP="009A7853">
      <w:pPr>
        <w:pStyle w:val="ListParagraph"/>
        <w:numPr>
          <w:ilvl w:val="1"/>
          <w:numId w:val="1"/>
        </w:numPr>
      </w:pPr>
      <w:r w:rsidRPr="00E433AB">
        <w:t>disclose the nature and extent of the interest</w:t>
      </w:r>
      <w:r w:rsidR="009A7853">
        <w:t>,</w:t>
      </w:r>
      <w:r w:rsidRPr="00E433AB">
        <w:t xml:space="preserve"> and must be made for indirect as well as direct interests. </w:t>
      </w:r>
    </w:p>
    <w:p w14:paraId="0D11951B" w14:textId="77777777" w:rsidR="00E433AB" w:rsidRPr="00E433AB" w:rsidRDefault="00E433AB" w:rsidP="009A7853">
      <w:pPr>
        <w:pStyle w:val="ListParagraph"/>
      </w:pPr>
      <w:r w:rsidRPr="00E433AB">
        <w:lastRenderedPageBreak/>
        <w:t>If the original declaration either proves to be, or becomes, inaccurate or incomplete, a further declaration must be made. Any change to the nature or extent of the interest, subsequent to the original declaration, also triggers an obligation to make a further declaration.</w:t>
      </w:r>
    </w:p>
    <w:p w14:paraId="7691E287" w14:textId="77777777" w:rsidR="002617AB" w:rsidRDefault="00E433AB" w:rsidP="00E433AB">
      <w:pPr>
        <w:pStyle w:val="ListParagraph"/>
      </w:pPr>
      <w:r w:rsidRPr="00E433AB">
        <w:t xml:space="preserve">Details of the disclosure must be kept with the records of the next board meeting held after that disclosure was made. </w:t>
      </w:r>
    </w:p>
    <w:p w14:paraId="55AC5E50" w14:textId="77777777" w:rsidR="00E433AB" w:rsidRPr="00E433AB" w:rsidRDefault="00E433AB" w:rsidP="00E433AB">
      <w:pPr>
        <w:pStyle w:val="ListParagraph"/>
      </w:pPr>
      <w:r w:rsidRPr="00E433AB">
        <w:t>There are some limited exceptions to the obligation to disclose, including if the interest could not reasonably be regarded as likely to</w:t>
      </w:r>
      <w:r w:rsidR="00071321">
        <w:t xml:space="preserve"> </w:t>
      </w:r>
      <w:r w:rsidRPr="00E433AB">
        <w:t>give rise to a conflict of interest or if the other directors are already aware of the interest. It is advisable to be cautious about relying on any of the exceptions.</w:t>
      </w:r>
    </w:p>
    <w:p w14:paraId="50AAF3E9" w14:textId="33B174C7" w:rsidR="00E433AB" w:rsidRPr="00E433AB" w:rsidRDefault="00E433AB" w:rsidP="00E433AB">
      <w:pPr>
        <w:pStyle w:val="ListParagraph"/>
      </w:pPr>
      <w:r w:rsidRPr="00E433AB">
        <w:t>As the Trustees have decided that it is in the interests of THSG to have close relationships with other transport organisations and public health organisations, and also that it is in the interests of THSG to engage in collaborative research with other academic bodies (including research involving its Trustees), the Trustees are relatively relaxed about such relationships but they must still be declared as interests and in addition any factor which may detract from the relaxed attitude, such as financial advantage which accrues to a Trustee, must be separately declared</w:t>
      </w:r>
      <w:r w:rsidR="0057086F">
        <w:t xml:space="preserve">. </w:t>
      </w:r>
    </w:p>
    <w:p w14:paraId="6F1DBA82" w14:textId="77777777" w:rsidR="00C87EB1" w:rsidRDefault="00C87EB1" w:rsidP="00C87EB1">
      <w:pPr>
        <w:pStyle w:val="ListParagraph"/>
      </w:pPr>
      <w:r w:rsidRPr="00786EAB">
        <w:t>This policy applies to trustees, staff, consultants and any others acting on our behalf.</w:t>
      </w:r>
      <w:r>
        <w:t xml:space="preserve"> </w:t>
      </w:r>
    </w:p>
    <w:p w14:paraId="495C0B1C" w14:textId="64A16C68" w:rsidR="00E433AB" w:rsidRDefault="00C87EB1" w:rsidP="00E433AB">
      <w:pPr>
        <w:pStyle w:val="ListParagraph"/>
      </w:pPr>
      <w:r>
        <w:t>C</w:t>
      </w:r>
      <w:r w:rsidR="00E433AB" w:rsidRPr="00E433AB">
        <w:t xml:space="preserve">onflict of interest statements must also be provided by others who are involved in the management of THSG (such as officers, project leads or committee members) if asked to do so by the chair, </w:t>
      </w:r>
      <w:r w:rsidR="005C01A5">
        <w:t xml:space="preserve">company </w:t>
      </w:r>
      <w:r w:rsidR="00E433AB" w:rsidRPr="00E433AB">
        <w:t>secretary</w:t>
      </w:r>
      <w:r w:rsidR="005C01A5">
        <w:t>,</w:t>
      </w:r>
      <w:r w:rsidR="00E433AB" w:rsidRPr="00E433AB">
        <w:t xml:space="preserve"> or treasurer.</w:t>
      </w:r>
    </w:p>
    <w:p w14:paraId="6B23065D" w14:textId="77777777" w:rsidR="003739AE" w:rsidRDefault="003739AE" w:rsidP="003739AE">
      <w:pPr>
        <w:pStyle w:val="Heading2"/>
      </w:pPr>
      <w:r>
        <w:t>Monitoring</w:t>
      </w:r>
    </w:p>
    <w:p w14:paraId="39B80BC8" w14:textId="77777777" w:rsidR="003739AE" w:rsidRDefault="003739AE" w:rsidP="00E433AB">
      <w:pPr>
        <w:pStyle w:val="ListParagraph"/>
      </w:pPr>
      <w:r>
        <w:t>The company secretary will send a conflicts of interest form to each trustee annually for completion. It is the trustee’s responsibility to complete it, sign it, and return it to the company secretary.</w:t>
      </w:r>
    </w:p>
    <w:p w14:paraId="64A8C402" w14:textId="1451FB84" w:rsidR="003739AE" w:rsidRDefault="003739AE" w:rsidP="00E433AB">
      <w:pPr>
        <w:pStyle w:val="ListParagraph"/>
      </w:pPr>
      <w:r w:rsidRPr="00E433AB">
        <w:t xml:space="preserve">A register of interests shall be maintained </w:t>
      </w:r>
      <w:r>
        <w:t>by the company secretary a</w:t>
      </w:r>
      <w:r w:rsidRPr="00E433AB">
        <w:t xml:space="preserve">nd shall be available to the </w:t>
      </w:r>
      <w:r w:rsidR="00B90726">
        <w:t>Board</w:t>
      </w:r>
      <w:r w:rsidRPr="00E433AB">
        <w:t>.</w:t>
      </w:r>
    </w:p>
    <w:p w14:paraId="39745E17" w14:textId="77777777" w:rsidR="003739AE" w:rsidRPr="00E433AB" w:rsidRDefault="003739AE" w:rsidP="003739AE"/>
    <w:p w14:paraId="404A5845" w14:textId="77777777" w:rsidR="009F0B9B" w:rsidRDefault="00E433AB" w:rsidP="00E433AB">
      <w:pPr>
        <w:pStyle w:val="Heading1"/>
      </w:pPr>
      <w:r w:rsidRPr="00E433AB">
        <w:t>Bribery</w:t>
      </w:r>
    </w:p>
    <w:p w14:paraId="7F292694" w14:textId="77777777" w:rsidR="003739AE" w:rsidRPr="003739AE" w:rsidRDefault="003739AE" w:rsidP="003739AE">
      <w:pPr>
        <w:pStyle w:val="Heading2"/>
      </w:pPr>
      <w:r>
        <w:t>Background</w:t>
      </w:r>
    </w:p>
    <w:p w14:paraId="68BA01F6" w14:textId="3B4F33FB" w:rsidR="00E433AB" w:rsidRPr="00786EAB" w:rsidRDefault="004C31F1" w:rsidP="00071321">
      <w:pPr>
        <w:pStyle w:val="ListParagraph"/>
        <w:rPr>
          <w:b/>
        </w:rPr>
      </w:pPr>
      <w:r>
        <w:rPr>
          <w:iCs/>
        </w:rPr>
        <w:t>This policy</w:t>
      </w:r>
      <w:r w:rsidRPr="00786EAB">
        <w:rPr>
          <w:iCs/>
        </w:rPr>
        <w:t xml:space="preserve"> </w:t>
      </w:r>
      <w:r w:rsidR="0057086F">
        <w:rPr>
          <w:iCs/>
        </w:rPr>
        <w:t xml:space="preserve">is intended to </w:t>
      </w:r>
      <w:r w:rsidR="00E433AB" w:rsidRPr="00786EAB">
        <w:t>help THSG act in accordance with the Bribery Act 2010</w:t>
      </w:r>
      <w:r w:rsidR="0057086F">
        <w:t>,</w:t>
      </w:r>
      <w:r w:rsidR="00E433AB" w:rsidRPr="00786EAB">
        <w:t xml:space="preserve"> and to advise trustees, staff, consultants and others acting on our behalf of our policy on bribery.</w:t>
      </w:r>
    </w:p>
    <w:p w14:paraId="2AED71B8" w14:textId="2C3E9DF2" w:rsidR="00824E95" w:rsidRDefault="00E433AB" w:rsidP="00287921">
      <w:pPr>
        <w:pStyle w:val="ListParagraph"/>
        <w:rPr>
          <w:rStyle w:val="Heading2Char"/>
        </w:rPr>
      </w:pPr>
      <w:r w:rsidRPr="00786EAB">
        <w:t>Under the Bribery Act 2010, bribery and corruption is punishable for individuals by up to ten years imprisonment. If the charity is found to have taken part in the corruption, or lacks adequate procedures to prevent bribery, it could face an unlimited fine and be excluded from applying for government funding or contracts.</w:t>
      </w:r>
      <w:r w:rsidR="00824E95">
        <w:rPr>
          <w:rStyle w:val="Heading2Char"/>
        </w:rPr>
        <w:br w:type="page"/>
      </w:r>
    </w:p>
    <w:p w14:paraId="7230618E" w14:textId="77777777" w:rsidR="00E433AB" w:rsidRPr="003739AE" w:rsidRDefault="00E433AB" w:rsidP="003739AE">
      <w:pPr>
        <w:pStyle w:val="Heading2"/>
        <w:rPr>
          <w:b w:val="0"/>
          <w:bCs w:val="0"/>
        </w:rPr>
      </w:pPr>
      <w:r w:rsidRPr="003739AE">
        <w:rPr>
          <w:rStyle w:val="Heading2Char"/>
          <w:b/>
          <w:bCs/>
        </w:rPr>
        <w:lastRenderedPageBreak/>
        <w:t>Definitions</w:t>
      </w:r>
    </w:p>
    <w:p w14:paraId="451B69E4" w14:textId="77777777" w:rsidR="00E433AB" w:rsidRPr="00786EAB" w:rsidRDefault="0057086F" w:rsidP="004C31F1">
      <w:pPr>
        <w:pStyle w:val="ListParagraph"/>
      </w:pPr>
      <w:r>
        <w:t>A “b</w:t>
      </w:r>
      <w:r w:rsidR="00E433AB" w:rsidRPr="00786EAB">
        <w:t>ribe</w:t>
      </w:r>
      <w:r>
        <w:t>”</w:t>
      </w:r>
      <w:r w:rsidR="00E433AB" w:rsidRPr="00786EAB">
        <w:t xml:space="preserve"> is a financial or other advantage offered or given to anyone to persuade them to or reward them for performing their duties improperly, or, with the intention of influencing them in the performance of their duties. </w:t>
      </w:r>
    </w:p>
    <w:p w14:paraId="47BA197C" w14:textId="77777777" w:rsidR="00E433AB" w:rsidRPr="00786EAB" w:rsidRDefault="00E433AB" w:rsidP="004C31F1">
      <w:pPr>
        <w:pStyle w:val="ListParagraph"/>
      </w:pPr>
      <w:r w:rsidRPr="00786EAB">
        <w:t xml:space="preserve">Hospitality includes the reception and entertainment of guests, visitors, contractors, suppliers, stake-holders and any others THSG may be working with to achieve its charitable objectives. </w:t>
      </w:r>
    </w:p>
    <w:p w14:paraId="497072BA" w14:textId="77777777" w:rsidR="00E433AB" w:rsidRPr="00786EAB" w:rsidRDefault="00E433AB" w:rsidP="004C31F1">
      <w:pPr>
        <w:pStyle w:val="ListParagraph"/>
      </w:pPr>
      <w:r w:rsidRPr="00786EAB">
        <w:t xml:space="preserve">Facilitation payments (commonly referred to as kickbacks) are payments made in return for a business favour or advantage.  </w:t>
      </w:r>
    </w:p>
    <w:p w14:paraId="79EE2AC0" w14:textId="77777777" w:rsidR="00E433AB" w:rsidRPr="00786EAB" w:rsidRDefault="00E433AB" w:rsidP="00071321">
      <w:pPr>
        <w:pStyle w:val="Heading2"/>
      </w:pPr>
      <w:r w:rsidRPr="00786EAB">
        <w:t>Overview</w:t>
      </w:r>
    </w:p>
    <w:p w14:paraId="40EAF825" w14:textId="77777777" w:rsidR="00E433AB" w:rsidRPr="00786EAB" w:rsidRDefault="00E433AB" w:rsidP="004C31F1">
      <w:pPr>
        <w:pStyle w:val="ListParagraph"/>
      </w:pPr>
      <w:r w:rsidRPr="00786EAB">
        <w:t>THSG is committed to implementing and enforcing effective systems to counter bribery. It is our policy to conduct all aspects of our work in a decent, honest and ethical manner.</w:t>
      </w:r>
      <w:bookmarkStart w:id="0" w:name="2"/>
      <w:bookmarkEnd w:id="0"/>
    </w:p>
    <w:p w14:paraId="113E689A" w14:textId="0FDD69A0" w:rsidR="00E433AB" w:rsidRPr="00786EAB" w:rsidRDefault="00E433AB" w:rsidP="004C31F1">
      <w:pPr>
        <w:pStyle w:val="ListParagraph"/>
      </w:pPr>
      <w:r w:rsidRPr="00786EAB">
        <w:t>This policy applies to trustees, staff, consultants and any others acting on our behalf.</w:t>
      </w:r>
      <w:r w:rsidR="0057086F">
        <w:t xml:space="preserve"> </w:t>
      </w:r>
    </w:p>
    <w:p w14:paraId="223FA886" w14:textId="77777777" w:rsidR="00E433AB" w:rsidRPr="00786EAB" w:rsidRDefault="00E433AB" w:rsidP="004C31F1">
      <w:pPr>
        <w:pStyle w:val="Heading2"/>
      </w:pPr>
      <w:r w:rsidRPr="00786EAB">
        <w:t xml:space="preserve"> Policy Statement</w:t>
      </w:r>
    </w:p>
    <w:p w14:paraId="7F30E894" w14:textId="77777777" w:rsidR="00E433AB" w:rsidRPr="00786EAB" w:rsidRDefault="00E433AB" w:rsidP="004C31F1">
      <w:pPr>
        <w:pStyle w:val="ListParagraph"/>
      </w:pPr>
      <w:r w:rsidRPr="00786EAB">
        <w:t xml:space="preserve">THSG </w:t>
      </w:r>
      <w:r w:rsidR="00071321">
        <w:t>will not:</w:t>
      </w:r>
    </w:p>
    <w:p w14:paraId="1257760C" w14:textId="77777777" w:rsidR="00E433AB" w:rsidRPr="00786EAB" w:rsidRDefault="00E433AB" w:rsidP="004C31F1">
      <w:pPr>
        <w:pStyle w:val="ListParagraph"/>
        <w:numPr>
          <w:ilvl w:val="1"/>
          <w:numId w:val="1"/>
        </w:numPr>
        <w:ind w:left="1134" w:hanging="567"/>
      </w:pPr>
      <w:r w:rsidRPr="00786EAB">
        <w:t>make contributions of any kind with the purpose of gaining advantage;</w:t>
      </w:r>
    </w:p>
    <w:p w14:paraId="40585CA3" w14:textId="77777777" w:rsidR="00E433AB" w:rsidRPr="00786EAB" w:rsidRDefault="00E433AB" w:rsidP="004C31F1">
      <w:pPr>
        <w:pStyle w:val="ListParagraph"/>
        <w:numPr>
          <w:ilvl w:val="1"/>
          <w:numId w:val="1"/>
        </w:numPr>
        <w:ind w:left="1134" w:hanging="567"/>
      </w:pPr>
      <w:r w:rsidRPr="00786EAB">
        <w:t>provide gifts or hospitality with the intention of persuading anyone to act improperly, or to influence a public official in the performance of their duties;</w:t>
      </w:r>
    </w:p>
    <w:p w14:paraId="18E6AE7C" w14:textId="77777777" w:rsidR="00E433AB" w:rsidRPr="00786EAB" w:rsidRDefault="00E433AB" w:rsidP="004C31F1">
      <w:pPr>
        <w:pStyle w:val="ListParagraph"/>
        <w:numPr>
          <w:ilvl w:val="1"/>
          <w:numId w:val="1"/>
        </w:numPr>
        <w:ind w:left="1134" w:hanging="567"/>
      </w:pPr>
      <w:r w:rsidRPr="00786EAB">
        <w:t>make or accept facilitation payments of any kind.</w:t>
      </w:r>
    </w:p>
    <w:p w14:paraId="64C099A5" w14:textId="77777777" w:rsidR="00E433AB" w:rsidRPr="00786EAB" w:rsidRDefault="00E433AB" w:rsidP="004C31F1">
      <w:pPr>
        <w:pStyle w:val="ListParagraph"/>
      </w:pPr>
      <w:r w:rsidRPr="00786EAB">
        <w:t xml:space="preserve">THSG </w:t>
      </w:r>
      <w:r w:rsidR="00071321">
        <w:t>will:</w:t>
      </w:r>
    </w:p>
    <w:p w14:paraId="4BD33D89" w14:textId="0B0CB051" w:rsidR="00E433AB" w:rsidRPr="00786EAB" w:rsidRDefault="00E433AB" w:rsidP="004C31F1">
      <w:pPr>
        <w:pStyle w:val="ListParagraph"/>
        <w:numPr>
          <w:ilvl w:val="1"/>
          <w:numId w:val="1"/>
        </w:numPr>
        <w:ind w:left="1134" w:hanging="567"/>
      </w:pPr>
      <w:r w:rsidRPr="00786EAB">
        <w:t>keep appropriate internal records that will evidence the charitable or business reason for making any payments</w:t>
      </w:r>
      <w:r w:rsidR="0092283E">
        <w:t>_</w:t>
      </w:r>
      <w:r w:rsidRPr="00786EAB">
        <w:t>;</w:t>
      </w:r>
    </w:p>
    <w:p w14:paraId="01EC8E82" w14:textId="77777777" w:rsidR="00E433AB" w:rsidRPr="00786EAB" w:rsidRDefault="00E433AB" w:rsidP="004C31F1">
      <w:pPr>
        <w:pStyle w:val="ListParagraph"/>
        <w:numPr>
          <w:ilvl w:val="1"/>
          <w:numId w:val="1"/>
        </w:numPr>
        <w:ind w:left="1134" w:hanging="567"/>
      </w:pPr>
      <w:r w:rsidRPr="00786EAB">
        <w:t>encourage employees and volunteers to raise concerns about any issue or suspicion of malpractice at the earliest possible stage</w:t>
      </w:r>
      <w:r w:rsidR="005C01A5">
        <w:t>; and</w:t>
      </w:r>
      <w:r w:rsidRPr="00786EAB">
        <w:t xml:space="preserve"> </w:t>
      </w:r>
    </w:p>
    <w:p w14:paraId="6B23CD9E" w14:textId="77777777" w:rsidR="00E433AB" w:rsidRPr="004C31F1" w:rsidRDefault="00E433AB" w:rsidP="004C31F1">
      <w:pPr>
        <w:pStyle w:val="ListParagraph"/>
        <w:numPr>
          <w:ilvl w:val="1"/>
          <w:numId w:val="1"/>
        </w:numPr>
        <w:ind w:left="1134" w:hanging="567"/>
      </w:pPr>
      <w:r w:rsidRPr="00786EAB">
        <w:t xml:space="preserve">see that anyone raising any concern about bribery will not suffer any detriment as a </w:t>
      </w:r>
      <w:r w:rsidRPr="004C31F1">
        <w:t>result.</w:t>
      </w:r>
    </w:p>
    <w:p w14:paraId="57940FAD" w14:textId="77777777" w:rsidR="00E433AB" w:rsidRPr="00786EAB" w:rsidRDefault="00E433AB" w:rsidP="004C31F1">
      <w:pPr>
        <w:pStyle w:val="ListParagraph"/>
        <w:rPr>
          <w:b/>
        </w:rPr>
      </w:pPr>
      <w:r w:rsidRPr="004C31F1">
        <w:t>T</w:t>
      </w:r>
      <w:r w:rsidR="00071321" w:rsidRPr="004C31F1">
        <w:t>rustees, staff,</w:t>
      </w:r>
      <w:r w:rsidR="00071321">
        <w:t xml:space="preserve"> consultants, and others acting for the THSG  must not: </w:t>
      </w:r>
    </w:p>
    <w:p w14:paraId="662A3231" w14:textId="77777777" w:rsidR="00E433AB" w:rsidRPr="00786EAB" w:rsidRDefault="00E433AB" w:rsidP="004C31F1">
      <w:pPr>
        <w:pStyle w:val="ListParagraph"/>
        <w:numPr>
          <w:ilvl w:val="1"/>
          <w:numId w:val="1"/>
        </w:numPr>
        <w:ind w:left="1134" w:hanging="567"/>
      </w:pPr>
      <w:r w:rsidRPr="00786EAB">
        <w:t>accept any financial or other reward from any person in return for providing some favour;</w:t>
      </w:r>
    </w:p>
    <w:p w14:paraId="7BD4738A" w14:textId="77777777" w:rsidR="00E433AB" w:rsidRPr="00786EAB" w:rsidRDefault="00E433AB" w:rsidP="004C31F1">
      <w:pPr>
        <w:pStyle w:val="ListParagraph"/>
        <w:numPr>
          <w:ilvl w:val="1"/>
          <w:numId w:val="1"/>
        </w:numPr>
        <w:ind w:left="1134" w:hanging="567"/>
      </w:pPr>
      <w:r w:rsidRPr="00786EAB">
        <w:t>request a financial or other reward from any person in return for providing some favour;</w:t>
      </w:r>
      <w:r w:rsidR="005C01A5">
        <w:t xml:space="preserve"> nor</w:t>
      </w:r>
    </w:p>
    <w:p w14:paraId="20616AFF" w14:textId="77777777" w:rsidR="00E433AB" w:rsidRPr="00786EAB" w:rsidRDefault="00E433AB" w:rsidP="004C31F1">
      <w:pPr>
        <w:pStyle w:val="ListParagraph"/>
        <w:numPr>
          <w:ilvl w:val="1"/>
          <w:numId w:val="1"/>
        </w:numPr>
        <w:ind w:left="1134" w:hanging="567"/>
      </w:pPr>
      <w:r w:rsidRPr="00786EAB">
        <w:t>offer any financial or other reward from any person in return for providing some favour.</w:t>
      </w:r>
    </w:p>
    <w:p w14:paraId="545287D6" w14:textId="77777777" w:rsidR="00E433AB" w:rsidRPr="00786EAB" w:rsidRDefault="004C31F1" w:rsidP="004C31F1">
      <w:pPr>
        <w:pStyle w:val="Heading2"/>
      </w:pPr>
      <w:r>
        <w:t>Gifts and hospitality</w:t>
      </w:r>
    </w:p>
    <w:p w14:paraId="7D31F65A" w14:textId="77777777" w:rsidR="00E433AB" w:rsidRPr="00786EAB" w:rsidRDefault="00071321" w:rsidP="004C31F1">
      <w:pPr>
        <w:pStyle w:val="ListParagraph"/>
      </w:pPr>
      <w:r>
        <w:lastRenderedPageBreak/>
        <w:t>T</w:t>
      </w:r>
      <w:r w:rsidR="00E433AB" w:rsidRPr="00786EAB">
        <w:t>his policy does not prohibit the giving and receiving of promotional gifts of low value, or normal and appropriate hospitality.</w:t>
      </w:r>
    </w:p>
    <w:p w14:paraId="00C4E431" w14:textId="77777777" w:rsidR="00E433AB" w:rsidRPr="00786EAB" w:rsidRDefault="00E433AB" w:rsidP="004C31F1">
      <w:pPr>
        <w:pStyle w:val="ListParagraph"/>
      </w:pPr>
      <w:r w:rsidRPr="00786EAB">
        <w:t>R</w:t>
      </w:r>
      <w:r w:rsidR="00071321">
        <w:t>eceiving gifts</w:t>
      </w:r>
      <w:r w:rsidRPr="00786EAB">
        <w:t>:</w:t>
      </w:r>
    </w:p>
    <w:p w14:paraId="1C72EB44" w14:textId="77777777" w:rsidR="00E433AB" w:rsidRPr="00786EAB" w:rsidRDefault="00071321" w:rsidP="004C31F1">
      <w:pPr>
        <w:pStyle w:val="ListParagraph"/>
        <w:numPr>
          <w:ilvl w:val="1"/>
          <w:numId w:val="1"/>
        </w:numPr>
        <w:ind w:left="1134" w:hanging="567"/>
      </w:pPr>
      <w:r>
        <w:t>R</w:t>
      </w:r>
      <w:r w:rsidR="00E433AB" w:rsidRPr="00786EAB">
        <w:t>eceiving promotional gifts of low value is normal and appropriate, however, gifts with a value exceeding £30.00 (UK currency) or its purchasing power equivalent in other currencies may not be accepted without approval of the Company Secretary or the Board or such other bodies or officers as may be authorised by the Board.</w:t>
      </w:r>
    </w:p>
    <w:p w14:paraId="7FB863C5" w14:textId="77777777" w:rsidR="00E433AB" w:rsidRPr="00786EAB" w:rsidRDefault="00E433AB" w:rsidP="004C31F1">
      <w:pPr>
        <w:pStyle w:val="ListParagraph"/>
        <w:numPr>
          <w:ilvl w:val="1"/>
          <w:numId w:val="1"/>
        </w:numPr>
        <w:ind w:left="1134" w:hanging="567"/>
      </w:pPr>
      <w:r w:rsidRPr="00786EAB">
        <w:t xml:space="preserve">Any gift offered and then refused because of its value, must be reported to the Company Secretary </w:t>
      </w:r>
    </w:p>
    <w:p w14:paraId="5FD880A0" w14:textId="77777777" w:rsidR="00E433AB" w:rsidRPr="00786EAB" w:rsidRDefault="005C01A5" w:rsidP="004C31F1">
      <w:pPr>
        <w:pStyle w:val="ListParagraph"/>
        <w:numPr>
          <w:ilvl w:val="1"/>
          <w:numId w:val="1"/>
        </w:numPr>
        <w:ind w:left="1134" w:hanging="567"/>
      </w:pPr>
      <w:r>
        <w:t>U</w:t>
      </w:r>
      <w:r w:rsidR="00E433AB" w:rsidRPr="00786EAB">
        <w:t>nder no circumstances may gifts be accepted from anyone working for or representing companies from the auto-oil industries</w:t>
      </w:r>
    </w:p>
    <w:p w14:paraId="0FCB6CB2" w14:textId="77777777" w:rsidR="00E433AB" w:rsidRPr="00786EAB" w:rsidRDefault="00071321" w:rsidP="004C31F1">
      <w:pPr>
        <w:pStyle w:val="ListParagraph"/>
      </w:pPr>
      <w:r>
        <w:t>Offering gifts</w:t>
      </w:r>
      <w:r w:rsidR="00E433AB" w:rsidRPr="00786EAB">
        <w:t>:</w:t>
      </w:r>
    </w:p>
    <w:p w14:paraId="0A1591BA" w14:textId="77777777" w:rsidR="00E433AB" w:rsidRPr="00786EAB" w:rsidRDefault="005C01A5" w:rsidP="004C31F1">
      <w:pPr>
        <w:pStyle w:val="ListParagraph"/>
        <w:numPr>
          <w:ilvl w:val="1"/>
          <w:numId w:val="1"/>
        </w:numPr>
        <w:ind w:left="1134" w:hanging="567"/>
      </w:pPr>
      <w:r>
        <w:t>G</w:t>
      </w:r>
      <w:r w:rsidR="00E433AB" w:rsidRPr="00786EAB">
        <w:t>ifts are intended to thank suppliers or contacts. Gifts may be given but must be authorised by the Company Secretary or the Board or such other bodies or officers as may be authorised by the Board.</w:t>
      </w:r>
    </w:p>
    <w:p w14:paraId="788454B9" w14:textId="77777777" w:rsidR="00E433AB" w:rsidRPr="00786EAB" w:rsidRDefault="00E433AB" w:rsidP="004C31F1">
      <w:pPr>
        <w:pStyle w:val="ListParagraph"/>
        <w:numPr>
          <w:ilvl w:val="1"/>
          <w:numId w:val="1"/>
        </w:numPr>
        <w:ind w:left="1134" w:hanging="567"/>
      </w:pPr>
      <w:r w:rsidRPr="00786EAB">
        <w:t>Other than cut flowers, the value of gifts may not exceed £30.00 (UK currency) or its purchasing power equivalent in other currencies.</w:t>
      </w:r>
    </w:p>
    <w:p w14:paraId="07B33A57" w14:textId="77777777" w:rsidR="00E433AB" w:rsidRPr="00786EAB" w:rsidRDefault="00071321" w:rsidP="004C31F1">
      <w:pPr>
        <w:pStyle w:val="ListParagraph"/>
      </w:pPr>
      <w:r>
        <w:t>Receiving hospitality</w:t>
      </w:r>
      <w:r w:rsidR="00E433AB" w:rsidRPr="00786EAB">
        <w:t>:</w:t>
      </w:r>
    </w:p>
    <w:p w14:paraId="01D1DC46" w14:textId="77777777" w:rsidR="00E433AB" w:rsidRPr="00786EAB" w:rsidRDefault="005C01A5" w:rsidP="004C31F1">
      <w:pPr>
        <w:pStyle w:val="ListParagraph"/>
        <w:numPr>
          <w:ilvl w:val="1"/>
          <w:numId w:val="1"/>
        </w:numPr>
        <w:ind w:left="1134" w:hanging="567"/>
      </w:pPr>
      <w:r>
        <w:t>T</w:t>
      </w:r>
      <w:r w:rsidR="00E433AB" w:rsidRPr="00786EAB">
        <w:t xml:space="preserve">he acceptance of hospitality must be transparent; all invitations must be reported to the Company Secretary or the Board or such other bodies or officers as may be authorised by the Board before an employee (or a volunteer if the invitation relates to a THSG role) accepts any invitation; </w:t>
      </w:r>
    </w:p>
    <w:p w14:paraId="6AFC1389" w14:textId="77777777" w:rsidR="00E433AB" w:rsidRPr="00786EAB" w:rsidRDefault="005C01A5" w:rsidP="004C31F1">
      <w:pPr>
        <w:pStyle w:val="ListParagraph"/>
        <w:numPr>
          <w:ilvl w:val="1"/>
          <w:numId w:val="1"/>
        </w:numPr>
        <w:ind w:left="1134" w:hanging="567"/>
      </w:pPr>
      <w:r>
        <w:t>T</w:t>
      </w:r>
      <w:r w:rsidR="00E433AB" w:rsidRPr="00786EAB">
        <w:t>he following areas are normally exempt while attending conferences, seminars or other events sponsored by third parties</w:t>
      </w:r>
      <w:r>
        <w:t>:</w:t>
      </w:r>
      <w:r w:rsidR="00E433AB" w:rsidRPr="00786EAB">
        <w:t xml:space="preserve"> travel expenses incurred, normal business lunches and meals;</w:t>
      </w:r>
    </w:p>
    <w:p w14:paraId="6386721F" w14:textId="77777777" w:rsidR="00E433AB" w:rsidRPr="00786EAB" w:rsidRDefault="005C01A5" w:rsidP="004C31F1">
      <w:pPr>
        <w:pStyle w:val="ListParagraph"/>
        <w:numPr>
          <w:ilvl w:val="1"/>
          <w:numId w:val="1"/>
        </w:numPr>
        <w:ind w:left="1134" w:hanging="567"/>
      </w:pPr>
      <w:r>
        <w:t>U</w:t>
      </w:r>
      <w:r w:rsidR="00E433AB" w:rsidRPr="00786EAB">
        <w:t>nder no circumstances may hospitality be accepted from anyone working for or representing companies from the auto-oil industries.</w:t>
      </w:r>
    </w:p>
    <w:p w14:paraId="37D4E9B3" w14:textId="77777777" w:rsidR="00E433AB" w:rsidRPr="00786EAB" w:rsidRDefault="00071321" w:rsidP="004C31F1">
      <w:pPr>
        <w:pStyle w:val="ListParagraph"/>
      </w:pPr>
      <w:r>
        <w:t>Offering hospitality</w:t>
      </w:r>
      <w:r w:rsidR="00E433AB" w:rsidRPr="00786EAB">
        <w:t>:</w:t>
      </w:r>
    </w:p>
    <w:p w14:paraId="7E165B14" w14:textId="77777777" w:rsidR="003739AE" w:rsidRDefault="005C01A5" w:rsidP="003739AE">
      <w:pPr>
        <w:pStyle w:val="ListParagraph"/>
        <w:numPr>
          <w:ilvl w:val="1"/>
          <w:numId w:val="1"/>
        </w:numPr>
        <w:ind w:left="1134" w:hanging="567"/>
      </w:pPr>
      <w:r>
        <w:t>W</w:t>
      </w:r>
      <w:r w:rsidR="00E433AB" w:rsidRPr="00786EAB">
        <w:t>ith the exception of official THSG events, THSG hospitality is intended to thank suppliers or contacts. All offers of hospitality must have the approval of the Company Secretary or the Board or such other bodies or officers as may be authorised by the Board.</w:t>
      </w:r>
    </w:p>
    <w:p w14:paraId="3AB1136A" w14:textId="77777777" w:rsidR="003739AE" w:rsidRDefault="003739AE">
      <w:pPr>
        <w:rPr>
          <w:sz w:val="24"/>
          <w:szCs w:val="24"/>
        </w:rPr>
      </w:pPr>
      <w:r>
        <w:br w:type="page"/>
      </w:r>
    </w:p>
    <w:p w14:paraId="36429ACE" w14:textId="77777777" w:rsidR="00E433AB" w:rsidRPr="00786EAB" w:rsidRDefault="00E433AB" w:rsidP="004C31F1">
      <w:pPr>
        <w:pStyle w:val="Heading2"/>
      </w:pPr>
      <w:r w:rsidRPr="00786EAB">
        <w:lastRenderedPageBreak/>
        <w:t>D</w:t>
      </w:r>
      <w:r w:rsidR="004C31F1">
        <w:t>onations to organisations</w:t>
      </w:r>
    </w:p>
    <w:p w14:paraId="3439ADC0" w14:textId="77777777" w:rsidR="00E433AB" w:rsidRPr="00786EAB" w:rsidRDefault="00071321" w:rsidP="004C31F1">
      <w:pPr>
        <w:pStyle w:val="ListParagraph"/>
      </w:pPr>
      <w:r>
        <w:t>N</w:t>
      </w:r>
      <w:r w:rsidR="00E433AB" w:rsidRPr="00786EAB">
        <w:t>o donations should be made to other charities without the approval of the Company Secretary or the Board or such other bodies or officers as may be authorised by the Board.</w:t>
      </w:r>
    </w:p>
    <w:p w14:paraId="23CB5B38" w14:textId="77777777" w:rsidR="00E433AB" w:rsidRPr="00786EAB" w:rsidRDefault="00071321" w:rsidP="004C31F1">
      <w:pPr>
        <w:pStyle w:val="ListParagraph"/>
      </w:pPr>
      <w:r>
        <w:t>N</w:t>
      </w:r>
      <w:r w:rsidR="00E433AB" w:rsidRPr="00786EAB">
        <w:t>o donations may be made to political parties or other political organisations under any circumstances.</w:t>
      </w:r>
    </w:p>
    <w:p w14:paraId="4B773D39" w14:textId="77777777" w:rsidR="00E433AB" w:rsidRPr="00786EAB" w:rsidRDefault="00E433AB" w:rsidP="004C31F1">
      <w:pPr>
        <w:pStyle w:val="Heading2"/>
      </w:pPr>
      <w:r w:rsidRPr="00786EAB">
        <w:t>P</w:t>
      </w:r>
      <w:r w:rsidR="004C31F1">
        <w:t>olicy breaches</w:t>
      </w:r>
      <w:r w:rsidRPr="00786EAB">
        <w:t xml:space="preserve"> </w:t>
      </w:r>
    </w:p>
    <w:p w14:paraId="3874914B" w14:textId="77777777" w:rsidR="00E433AB" w:rsidRPr="00786EAB" w:rsidRDefault="00E433AB" w:rsidP="004C31F1">
      <w:pPr>
        <w:pStyle w:val="ListParagraph"/>
        <w:numPr>
          <w:ilvl w:val="1"/>
          <w:numId w:val="1"/>
        </w:numPr>
        <w:ind w:left="1134" w:hanging="567"/>
      </w:pPr>
      <w:r w:rsidRPr="00786EAB">
        <w:t xml:space="preserve">THSG staff - failing to observe the policy will lead to disciplinary action. Provision will be made for this is a staff disciplinary policy when THSG employs staff. </w:t>
      </w:r>
    </w:p>
    <w:p w14:paraId="6AF6BF10" w14:textId="77777777" w:rsidR="00E433AB" w:rsidRPr="00786EAB" w:rsidRDefault="00E433AB" w:rsidP="004C31F1">
      <w:pPr>
        <w:pStyle w:val="ListParagraph"/>
        <w:numPr>
          <w:ilvl w:val="1"/>
          <w:numId w:val="1"/>
        </w:numPr>
        <w:ind w:left="1134" w:hanging="567"/>
      </w:pPr>
      <w:r w:rsidRPr="00786EAB">
        <w:t>Consultants and others acting on behalf of THSG – in the event of a breach of the policy the Chair of the Board of Trustees will take appropriate action.</w:t>
      </w:r>
    </w:p>
    <w:p w14:paraId="170CBA55" w14:textId="77777777" w:rsidR="00E433AB" w:rsidRPr="00786EAB" w:rsidRDefault="00E433AB" w:rsidP="004C31F1">
      <w:pPr>
        <w:pStyle w:val="ListParagraph"/>
        <w:numPr>
          <w:ilvl w:val="1"/>
          <w:numId w:val="1"/>
        </w:numPr>
        <w:ind w:left="1134" w:hanging="567"/>
      </w:pPr>
      <w:r w:rsidRPr="00786EAB">
        <w:t>THSG Trustees - in the event of a breach of the policy the Board of Trustees will take appropriate action.</w:t>
      </w:r>
    </w:p>
    <w:p w14:paraId="5E55098C" w14:textId="77777777" w:rsidR="00E433AB" w:rsidRPr="00786EAB" w:rsidRDefault="00E433AB" w:rsidP="004C31F1">
      <w:pPr>
        <w:pStyle w:val="Heading2"/>
      </w:pPr>
      <w:r w:rsidRPr="00786EAB">
        <w:t>M</w:t>
      </w:r>
      <w:r w:rsidR="004C31F1">
        <w:t>onitoring</w:t>
      </w:r>
    </w:p>
    <w:p w14:paraId="7F5C2250" w14:textId="77777777" w:rsidR="00E433AB" w:rsidRPr="00786EAB" w:rsidRDefault="00E433AB" w:rsidP="004C31F1">
      <w:pPr>
        <w:pStyle w:val="ListParagraph"/>
      </w:pPr>
      <w:r w:rsidRPr="00786EAB">
        <w:t>The policy will be monitored by the Company Secretary on an on-going basis so as to ensure that it addresses the issues covered effectively.</w:t>
      </w:r>
    </w:p>
    <w:p w14:paraId="0C9D4AD5" w14:textId="77777777" w:rsidR="00E433AB" w:rsidRPr="00786EAB" w:rsidRDefault="00E433AB" w:rsidP="004C31F1">
      <w:pPr>
        <w:pStyle w:val="ListParagraph"/>
      </w:pPr>
      <w:r w:rsidRPr="00786EAB">
        <w:t>The following will be monitored:</w:t>
      </w:r>
    </w:p>
    <w:p w14:paraId="094C72EC" w14:textId="77777777" w:rsidR="00E433AB" w:rsidRPr="00786EAB" w:rsidRDefault="00E433AB" w:rsidP="004C31F1">
      <w:pPr>
        <w:pStyle w:val="ListParagraph"/>
        <w:numPr>
          <w:ilvl w:val="1"/>
          <w:numId w:val="1"/>
        </w:numPr>
        <w:ind w:left="1134" w:hanging="567"/>
      </w:pPr>
      <w:r w:rsidRPr="00786EAB">
        <w:t>that trustees, staff, consultants and any others acting on our behalf are advised of the policy;</w:t>
      </w:r>
    </w:p>
    <w:p w14:paraId="54E17B49" w14:textId="77777777" w:rsidR="00E433AB" w:rsidRPr="00786EAB" w:rsidRDefault="00E433AB" w:rsidP="004C31F1">
      <w:pPr>
        <w:pStyle w:val="ListParagraph"/>
        <w:numPr>
          <w:ilvl w:val="1"/>
          <w:numId w:val="1"/>
        </w:numPr>
        <w:ind w:left="1134" w:hanging="567"/>
      </w:pPr>
      <w:r w:rsidRPr="00786EAB">
        <w:t>assessment of any reported incident or related occurrence and action taken.</w:t>
      </w:r>
    </w:p>
    <w:p w14:paraId="69437828" w14:textId="77777777" w:rsidR="00E433AB" w:rsidRPr="00786EAB" w:rsidRDefault="00E433AB" w:rsidP="00071321">
      <w:pPr>
        <w:pStyle w:val="Heading2"/>
      </w:pPr>
      <w:r w:rsidRPr="00786EAB">
        <w:t>R</w:t>
      </w:r>
      <w:r w:rsidR="004C31F1">
        <w:t>eviewing the policy</w:t>
      </w:r>
    </w:p>
    <w:p w14:paraId="5C659229" w14:textId="77777777" w:rsidR="00E433AB" w:rsidRPr="00786EAB" w:rsidRDefault="00E433AB" w:rsidP="004C31F1">
      <w:pPr>
        <w:pStyle w:val="ListParagraph"/>
      </w:pPr>
      <w:r w:rsidRPr="00786EAB">
        <w:t>This policy will be reviewed and, if necessary, amended as and when required in cases of legislative or organisational change. However, notwithstanding this, a review will be performed by the Company Secretary at the same time as the review of the risk assessment.</w:t>
      </w:r>
    </w:p>
    <w:p w14:paraId="3FA523DC" w14:textId="77777777" w:rsidR="00E433AB" w:rsidRDefault="00E433AB" w:rsidP="00071321">
      <w:pPr>
        <w:pStyle w:val="ListParagraph"/>
      </w:pPr>
      <w:r w:rsidRPr="00786EAB">
        <w:t>The Company Secretary will inform trustees, staff, consultants and any others acting on our behalf of any amendments to this policy.</w:t>
      </w:r>
    </w:p>
    <w:p w14:paraId="3D5D7727" w14:textId="77777777" w:rsidR="00071321" w:rsidRDefault="00071321" w:rsidP="00071321"/>
    <w:p w14:paraId="3016B0AD" w14:textId="38367CD3" w:rsidR="00E433AB" w:rsidRPr="00E433AB" w:rsidRDefault="00B90726" w:rsidP="00E433AB">
      <w:r>
        <w:t>25</w:t>
      </w:r>
      <w:r w:rsidRPr="00B90726">
        <w:rPr>
          <w:vertAlign w:val="superscript"/>
        </w:rPr>
        <w:t>th</w:t>
      </w:r>
      <w:r>
        <w:t xml:space="preserve"> March 2025</w:t>
      </w:r>
    </w:p>
    <w:sectPr w:rsidR="00E433AB" w:rsidRPr="00E433AB" w:rsidSect="00EC6E0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35F87" w14:textId="77777777" w:rsidR="0085336E" w:rsidRDefault="0085336E" w:rsidP="00824E95">
      <w:pPr>
        <w:spacing w:after="0" w:line="240" w:lineRule="auto"/>
      </w:pPr>
      <w:r>
        <w:separator/>
      </w:r>
    </w:p>
  </w:endnote>
  <w:endnote w:type="continuationSeparator" w:id="0">
    <w:p w14:paraId="49960B20" w14:textId="77777777" w:rsidR="0085336E" w:rsidRDefault="0085336E" w:rsidP="00824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1945581"/>
      <w:docPartObj>
        <w:docPartGallery w:val="Page Numbers (Bottom of Page)"/>
        <w:docPartUnique/>
      </w:docPartObj>
    </w:sdtPr>
    <w:sdtEndPr>
      <w:rPr>
        <w:noProof/>
      </w:rPr>
    </w:sdtEndPr>
    <w:sdtContent>
      <w:p w14:paraId="464566EB" w14:textId="77777777" w:rsidR="00824E95" w:rsidRDefault="00824E95" w:rsidP="00824E95">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 xml:space="preserve"> of 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5ABC6" w14:textId="77777777" w:rsidR="0085336E" w:rsidRDefault="0085336E" w:rsidP="00824E95">
      <w:pPr>
        <w:spacing w:after="0" w:line="240" w:lineRule="auto"/>
      </w:pPr>
      <w:r>
        <w:separator/>
      </w:r>
    </w:p>
  </w:footnote>
  <w:footnote w:type="continuationSeparator" w:id="0">
    <w:p w14:paraId="0CD97E70" w14:textId="77777777" w:rsidR="0085336E" w:rsidRDefault="0085336E" w:rsidP="00824E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A5BEF"/>
    <w:multiLevelType w:val="hybridMultilevel"/>
    <w:tmpl w:val="78084656"/>
    <w:lvl w:ilvl="0" w:tplc="47C0DC62">
      <w:start w:val="1"/>
      <w:numFmt w:val="bullet"/>
      <w:lvlText w:val=""/>
      <w:lvlJc w:val="left"/>
      <w:pPr>
        <w:tabs>
          <w:tab w:val="num" w:pos="284"/>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2A6E39"/>
    <w:multiLevelType w:val="hybridMultilevel"/>
    <w:tmpl w:val="AEB62412"/>
    <w:lvl w:ilvl="0" w:tplc="47C0DC62">
      <w:start w:val="1"/>
      <w:numFmt w:val="bullet"/>
      <w:lvlText w:val=""/>
      <w:lvlJc w:val="left"/>
      <w:pPr>
        <w:tabs>
          <w:tab w:val="num" w:pos="284"/>
        </w:tabs>
        <w:ind w:left="284" w:hanging="284"/>
      </w:pPr>
      <w:rPr>
        <w:rFonts w:ascii="Symbol" w:hAnsi="Symbol" w:hint="default"/>
      </w:rPr>
    </w:lvl>
    <w:lvl w:ilvl="1" w:tplc="C2C6B25A">
      <w:start w:val="1"/>
      <w:numFmt w:val="bullet"/>
      <w:lvlText w:val=""/>
      <w:lvlJc w:val="left"/>
      <w:pPr>
        <w:tabs>
          <w:tab w:val="num" w:pos="1440"/>
        </w:tabs>
        <w:ind w:left="1440" w:hanging="360"/>
      </w:pPr>
      <w:rPr>
        <w:rFonts w:ascii="Symbol" w:hAnsi="Symbol" w:hint="default"/>
        <w:color w:val="auto"/>
        <w:sz w:val="20"/>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6CA5069"/>
    <w:multiLevelType w:val="hybridMultilevel"/>
    <w:tmpl w:val="2B163F48"/>
    <w:lvl w:ilvl="0" w:tplc="47C0DC62">
      <w:start w:val="1"/>
      <w:numFmt w:val="bullet"/>
      <w:lvlText w:val=""/>
      <w:lvlJc w:val="left"/>
      <w:pPr>
        <w:tabs>
          <w:tab w:val="num" w:pos="284"/>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A140799"/>
    <w:multiLevelType w:val="hybridMultilevel"/>
    <w:tmpl w:val="55B20602"/>
    <w:lvl w:ilvl="0" w:tplc="47C0DC62">
      <w:start w:val="1"/>
      <w:numFmt w:val="bullet"/>
      <w:lvlText w:val=""/>
      <w:lvlJc w:val="left"/>
      <w:pPr>
        <w:tabs>
          <w:tab w:val="num" w:pos="284"/>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745800"/>
    <w:multiLevelType w:val="hybridMultilevel"/>
    <w:tmpl w:val="83EEDFFC"/>
    <w:lvl w:ilvl="0" w:tplc="47C0DC62">
      <w:start w:val="1"/>
      <w:numFmt w:val="bullet"/>
      <w:lvlText w:val=""/>
      <w:lvlJc w:val="left"/>
      <w:pPr>
        <w:tabs>
          <w:tab w:val="num" w:pos="284"/>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E07077"/>
    <w:multiLevelType w:val="hybridMultilevel"/>
    <w:tmpl w:val="93D254EE"/>
    <w:lvl w:ilvl="0" w:tplc="47C0DC62">
      <w:start w:val="1"/>
      <w:numFmt w:val="bullet"/>
      <w:lvlText w:val=""/>
      <w:lvlJc w:val="left"/>
      <w:pPr>
        <w:tabs>
          <w:tab w:val="num" w:pos="568"/>
        </w:tabs>
        <w:ind w:left="568" w:hanging="284"/>
      </w:pPr>
      <w:rPr>
        <w:rFonts w:ascii="Symbol" w:hAnsi="Symbol" w:hint="default"/>
      </w:rPr>
    </w:lvl>
    <w:lvl w:ilvl="1" w:tplc="08090003">
      <w:start w:val="1"/>
      <w:numFmt w:val="bullet"/>
      <w:lvlText w:val="o"/>
      <w:lvlJc w:val="left"/>
      <w:pPr>
        <w:tabs>
          <w:tab w:val="num" w:pos="1724"/>
        </w:tabs>
        <w:ind w:left="1724" w:hanging="360"/>
      </w:pPr>
      <w:rPr>
        <w:rFonts w:ascii="Courier New" w:hAnsi="Courier New" w:cs="Courier New" w:hint="default"/>
      </w:rPr>
    </w:lvl>
    <w:lvl w:ilvl="2" w:tplc="08090005">
      <w:start w:val="1"/>
      <w:numFmt w:val="bullet"/>
      <w:lvlText w:val=""/>
      <w:lvlJc w:val="left"/>
      <w:pPr>
        <w:tabs>
          <w:tab w:val="num" w:pos="2444"/>
        </w:tabs>
        <w:ind w:left="2444" w:hanging="360"/>
      </w:pPr>
      <w:rPr>
        <w:rFonts w:ascii="Wingdings" w:hAnsi="Wingdings" w:hint="default"/>
      </w:rPr>
    </w:lvl>
    <w:lvl w:ilvl="3" w:tplc="08090001">
      <w:start w:val="1"/>
      <w:numFmt w:val="bullet"/>
      <w:lvlText w:val=""/>
      <w:lvlJc w:val="left"/>
      <w:pPr>
        <w:tabs>
          <w:tab w:val="num" w:pos="3164"/>
        </w:tabs>
        <w:ind w:left="3164" w:hanging="360"/>
      </w:pPr>
      <w:rPr>
        <w:rFonts w:ascii="Symbol" w:hAnsi="Symbol" w:hint="default"/>
      </w:rPr>
    </w:lvl>
    <w:lvl w:ilvl="4" w:tplc="08090003">
      <w:start w:val="1"/>
      <w:numFmt w:val="bullet"/>
      <w:lvlText w:val="o"/>
      <w:lvlJc w:val="left"/>
      <w:pPr>
        <w:tabs>
          <w:tab w:val="num" w:pos="3884"/>
        </w:tabs>
        <w:ind w:left="3884" w:hanging="360"/>
      </w:pPr>
      <w:rPr>
        <w:rFonts w:ascii="Courier New" w:hAnsi="Courier New" w:cs="Courier New" w:hint="default"/>
      </w:rPr>
    </w:lvl>
    <w:lvl w:ilvl="5" w:tplc="08090005">
      <w:start w:val="1"/>
      <w:numFmt w:val="bullet"/>
      <w:lvlText w:val=""/>
      <w:lvlJc w:val="left"/>
      <w:pPr>
        <w:tabs>
          <w:tab w:val="num" w:pos="4604"/>
        </w:tabs>
        <w:ind w:left="4604" w:hanging="360"/>
      </w:pPr>
      <w:rPr>
        <w:rFonts w:ascii="Wingdings" w:hAnsi="Wingdings" w:hint="default"/>
      </w:rPr>
    </w:lvl>
    <w:lvl w:ilvl="6" w:tplc="08090001">
      <w:start w:val="1"/>
      <w:numFmt w:val="bullet"/>
      <w:lvlText w:val=""/>
      <w:lvlJc w:val="left"/>
      <w:pPr>
        <w:tabs>
          <w:tab w:val="num" w:pos="5324"/>
        </w:tabs>
        <w:ind w:left="5324" w:hanging="360"/>
      </w:pPr>
      <w:rPr>
        <w:rFonts w:ascii="Symbol" w:hAnsi="Symbol" w:hint="default"/>
      </w:rPr>
    </w:lvl>
    <w:lvl w:ilvl="7" w:tplc="08090003">
      <w:start w:val="1"/>
      <w:numFmt w:val="bullet"/>
      <w:lvlText w:val="o"/>
      <w:lvlJc w:val="left"/>
      <w:pPr>
        <w:tabs>
          <w:tab w:val="num" w:pos="6044"/>
        </w:tabs>
        <w:ind w:left="6044" w:hanging="360"/>
      </w:pPr>
      <w:rPr>
        <w:rFonts w:ascii="Courier New" w:hAnsi="Courier New" w:cs="Courier New" w:hint="default"/>
      </w:rPr>
    </w:lvl>
    <w:lvl w:ilvl="8" w:tplc="08090005">
      <w:start w:val="1"/>
      <w:numFmt w:val="bullet"/>
      <w:lvlText w:val=""/>
      <w:lvlJc w:val="left"/>
      <w:pPr>
        <w:tabs>
          <w:tab w:val="num" w:pos="6764"/>
        </w:tabs>
        <w:ind w:left="6764" w:hanging="360"/>
      </w:pPr>
      <w:rPr>
        <w:rFonts w:ascii="Wingdings" w:hAnsi="Wingdings" w:hint="default"/>
      </w:rPr>
    </w:lvl>
  </w:abstractNum>
  <w:abstractNum w:abstractNumId="6" w15:restartNumberingAfterBreak="0">
    <w:nsid w:val="6A6D34E1"/>
    <w:multiLevelType w:val="hybridMultilevel"/>
    <w:tmpl w:val="EEEEB288"/>
    <w:lvl w:ilvl="0" w:tplc="252EE196">
      <w:start w:val="1"/>
      <w:numFmt w:val="decimal"/>
      <w:pStyle w:val="ListParagraph"/>
      <w:lvlText w:val="%1."/>
      <w:lvlJc w:val="left"/>
      <w:pPr>
        <w:ind w:left="360"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47606916">
    <w:abstractNumId w:val="6"/>
  </w:num>
  <w:num w:numId="2" w16cid:durableId="866257177">
    <w:abstractNumId w:val="3"/>
  </w:num>
  <w:num w:numId="3" w16cid:durableId="958073501">
    <w:abstractNumId w:val="4"/>
  </w:num>
  <w:num w:numId="4" w16cid:durableId="639388855">
    <w:abstractNumId w:val="2"/>
  </w:num>
  <w:num w:numId="5" w16cid:durableId="1810634915">
    <w:abstractNumId w:val="1"/>
  </w:num>
  <w:num w:numId="6" w16cid:durableId="1647006970">
    <w:abstractNumId w:val="0"/>
  </w:num>
  <w:num w:numId="7" w16cid:durableId="12079874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B9B"/>
    <w:rsid w:val="0004744F"/>
    <w:rsid w:val="00071321"/>
    <w:rsid w:val="000E4576"/>
    <w:rsid w:val="0017550E"/>
    <w:rsid w:val="001A3505"/>
    <w:rsid w:val="001E0F60"/>
    <w:rsid w:val="001E43D0"/>
    <w:rsid w:val="00200054"/>
    <w:rsid w:val="002617AB"/>
    <w:rsid w:val="00287921"/>
    <w:rsid w:val="003739AE"/>
    <w:rsid w:val="003B19A3"/>
    <w:rsid w:val="00491973"/>
    <w:rsid w:val="004C31F1"/>
    <w:rsid w:val="0053535B"/>
    <w:rsid w:val="0057086F"/>
    <w:rsid w:val="005C01A5"/>
    <w:rsid w:val="00610C8C"/>
    <w:rsid w:val="00725A39"/>
    <w:rsid w:val="00816D03"/>
    <w:rsid w:val="00824E95"/>
    <w:rsid w:val="0085336E"/>
    <w:rsid w:val="0092283E"/>
    <w:rsid w:val="009A7853"/>
    <w:rsid w:val="009B1E98"/>
    <w:rsid w:val="009F0B9B"/>
    <w:rsid w:val="009F7C97"/>
    <w:rsid w:val="00A40648"/>
    <w:rsid w:val="00A630F1"/>
    <w:rsid w:val="00A74C66"/>
    <w:rsid w:val="00B04832"/>
    <w:rsid w:val="00B1027E"/>
    <w:rsid w:val="00B17E1C"/>
    <w:rsid w:val="00B90726"/>
    <w:rsid w:val="00BE26B7"/>
    <w:rsid w:val="00C1711C"/>
    <w:rsid w:val="00C87EB1"/>
    <w:rsid w:val="00D723E1"/>
    <w:rsid w:val="00DC1D76"/>
    <w:rsid w:val="00DF0034"/>
    <w:rsid w:val="00DF543A"/>
    <w:rsid w:val="00E15067"/>
    <w:rsid w:val="00E16312"/>
    <w:rsid w:val="00E200BB"/>
    <w:rsid w:val="00E433AB"/>
    <w:rsid w:val="00E63771"/>
    <w:rsid w:val="00EC6E0B"/>
    <w:rsid w:val="00F451CA"/>
    <w:rsid w:val="00F62B2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743A2"/>
  <w15:chartTrackingRefBased/>
  <w15:docId w15:val="{6D24A297-803F-49DF-94F9-8435D8C21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B22"/>
  </w:style>
  <w:style w:type="paragraph" w:styleId="Heading1">
    <w:name w:val="heading 1"/>
    <w:basedOn w:val="Normal"/>
    <w:next w:val="Normal"/>
    <w:link w:val="Heading1Char"/>
    <w:uiPriority w:val="9"/>
    <w:qFormat/>
    <w:rsid w:val="00E433AB"/>
    <w:pPr>
      <w:keepNext/>
      <w:keepLines/>
      <w:spacing w:before="360" w:after="80"/>
      <w:outlineLvl w:val="0"/>
    </w:pPr>
    <w:rPr>
      <w:rFonts w:asciiTheme="majorHAnsi" w:eastAsiaTheme="majorEastAsia" w:hAnsiTheme="majorHAnsi" w:cstheme="majorBidi"/>
      <w:sz w:val="40"/>
      <w:szCs w:val="40"/>
    </w:rPr>
  </w:style>
  <w:style w:type="paragraph" w:styleId="Heading2">
    <w:name w:val="heading 2"/>
    <w:basedOn w:val="Normal"/>
    <w:next w:val="Normal"/>
    <w:link w:val="Heading2Char"/>
    <w:uiPriority w:val="9"/>
    <w:unhideWhenUsed/>
    <w:qFormat/>
    <w:rsid w:val="00071321"/>
    <w:pPr>
      <w:outlineLvl w:val="1"/>
    </w:pPr>
    <w:rPr>
      <w:b/>
      <w:bCs/>
      <w:sz w:val="24"/>
      <w:szCs w:val="24"/>
    </w:rPr>
  </w:style>
  <w:style w:type="paragraph" w:styleId="Heading3">
    <w:name w:val="heading 3"/>
    <w:basedOn w:val="Normal"/>
    <w:next w:val="Normal"/>
    <w:link w:val="Heading3Char"/>
    <w:uiPriority w:val="9"/>
    <w:semiHidden/>
    <w:unhideWhenUsed/>
    <w:qFormat/>
    <w:rsid w:val="009F0B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0B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0B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0B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0B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0B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0B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3AB"/>
    <w:rPr>
      <w:rFonts w:asciiTheme="majorHAnsi" w:eastAsiaTheme="majorEastAsia" w:hAnsiTheme="majorHAnsi" w:cstheme="majorBidi"/>
      <w:sz w:val="40"/>
      <w:szCs w:val="40"/>
    </w:rPr>
  </w:style>
  <w:style w:type="character" w:customStyle="1" w:styleId="Heading2Char">
    <w:name w:val="Heading 2 Char"/>
    <w:basedOn w:val="DefaultParagraphFont"/>
    <w:link w:val="Heading2"/>
    <w:uiPriority w:val="9"/>
    <w:rsid w:val="00071321"/>
    <w:rPr>
      <w:b/>
      <w:bCs/>
      <w:sz w:val="24"/>
      <w:szCs w:val="24"/>
    </w:rPr>
  </w:style>
  <w:style w:type="character" w:customStyle="1" w:styleId="Heading3Char">
    <w:name w:val="Heading 3 Char"/>
    <w:basedOn w:val="DefaultParagraphFont"/>
    <w:link w:val="Heading3"/>
    <w:uiPriority w:val="9"/>
    <w:semiHidden/>
    <w:rsid w:val="009F0B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0B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0B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0B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0B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0B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0B9B"/>
    <w:rPr>
      <w:rFonts w:eastAsiaTheme="majorEastAsia" w:cstheme="majorBidi"/>
      <w:color w:val="272727" w:themeColor="text1" w:themeTint="D8"/>
    </w:rPr>
  </w:style>
  <w:style w:type="paragraph" w:styleId="Title">
    <w:name w:val="Title"/>
    <w:basedOn w:val="Normal"/>
    <w:next w:val="Normal"/>
    <w:link w:val="TitleChar"/>
    <w:uiPriority w:val="10"/>
    <w:qFormat/>
    <w:rsid w:val="009F0B9B"/>
    <w:pPr>
      <w:spacing w:after="80" w:line="240" w:lineRule="auto"/>
      <w:contextualSpacing/>
    </w:pPr>
    <w:rPr>
      <w:rFonts w:asciiTheme="majorHAnsi" w:eastAsiaTheme="majorEastAsia" w:hAnsiTheme="majorHAnsi" w:cstheme="majorBidi"/>
      <w:spacing w:val="-10"/>
      <w:kern w:val="28"/>
      <w:sz w:val="48"/>
      <w:szCs w:val="48"/>
    </w:rPr>
  </w:style>
  <w:style w:type="character" w:customStyle="1" w:styleId="TitleChar">
    <w:name w:val="Title Char"/>
    <w:basedOn w:val="DefaultParagraphFont"/>
    <w:link w:val="Title"/>
    <w:uiPriority w:val="10"/>
    <w:rsid w:val="009F0B9B"/>
    <w:rPr>
      <w:rFonts w:asciiTheme="majorHAnsi" w:eastAsiaTheme="majorEastAsia" w:hAnsiTheme="majorHAnsi" w:cstheme="majorBidi"/>
      <w:spacing w:val="-10"/>
      <w:kern w:val="28"/>
      <w:sz w:val="48"/>
      <w:szCs w:val="48"/>
    </w:rPr>
  </w:style>
  <w:style w:type="paragraph" w:styleId="Subtitle">
    <w:name w:val="Subtitle"/>
    <w:basedOn w:val="Normal"/>
    <w:next w:val="Normal"/>
    <w:link w:val="SubtitleChar"/>
    <w:uiPriority w:val="11"/>
    <w:rsid w:val="009F0B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0B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0B9B"/>
    <w:pPr>
      <w:spacing w:before="160"/>
      <w:jc w:val="center"/>
    </w:pPr>
    <w:rPr>
      <w:i/>
      <w:iCs/>
      <w:color w:val="404040" w:themeColor="text1" w:themeTint="BF"/>
    </w:rPr>
  </w:style>
  <w:style w:type="character" w:customStyle="1" w:styleId="QuoteChar">
    <w:name w:val="Quote Char"/>
    <w:basedOn w:val="DefaultParagraphFont"/>
    <w:link w:val="Quote"/>
    <w:uiPriority w:val="29"/>
    <w:rsid w:val="009F0B9B"/>
    <w:rPr>
      <w:i/>
      <w:iCs/>
      <w:color w:val="404040" w:themeColor="text1" w:themeTint="BF"/>
    </w:rPr>
  </w:style>
  <w:style w:type="paragraph" w:styleId="ListParagraph">
    <w:name w:val="List Paragraph"/>
    <w:basedOn w:val="Normal"/>
    <w:uiPriority w:val="34"/>
    <w:qFormat/>
    <w:rsid w:val="00E433AB"/>
    <w:pPr>
      <w:numPr>
        <w:numId w:val="1"/>
      </w:numPr>
      <w:spacing w:after="120" w:line="240" w:lineRule="auto"/>
    </w:pPr>
    <w:rPr>
      <w:sz w:val="24"/>
      <w:szCs w:val="24"/>
    </w:rPr>
  </w:style>
  <w:style w:type="character" w:styleId="IntenseEmphasis">
    <w:name w:val="Intense Emphasis"/>
    <w:basedOn w:val="DefaultParagraphFont"/>
    <w:uiPriority w:val="21"/>
    <w:rsid w:val="009F0B9B"/>
    <w:rPr>
      <w:i/>
      <w:iCs/>
      <w:color w:val="0F4761" w:themeColor="accent1" w:themeShade="BF"/>
    </w:rPr>
  </w:style>
  <w:style w:type="paragraph" w:styleId="IntenseQuote">
    <w:name w:val="Intense Quote"/>
    <w:basedOn w:val="Normal"/>
    <w:next w:val="Normal"/>
    <w:link w:val="IntenseQuoteChar"/>
    <w:uiPriority w:val="30"/>
    <w:rsid w:val="009F0B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0B9B"/>
    <w:rPr>
      <w:i/>
      <w:iCs/>
      <w:color w:val="0F4761" w:themeColor="accent1" w:themeShade="BF"/>
    </w:rPr>
  </w:style>
  <w:style w:type="character" w:styleId="IntenseReference">
    <w:name w:val="Intense Reference"/>
    <w:basedOn w:val="DefaultParagraphFont"/>
    <w:uiPriority w:val="32"/>
    <w:rsid w:val="009F0B9B"/>
    <w:rPr>
      <w:b/>
      <w:bCs/>
      <w:smallCaps/>
      <w:color w:val="0F4761" w:themeColor="accent1" w:themeShade="BF"/>
      <w:spacing w:val="5"/>
    </w:rPr>
  </w:style>
  <w:style w:type="paragraph" w:styleId="Revision">
    <w:name w:val="Revision"/>
    <w:hidden/>
    <w:uiPriority w:val="99"/>
    <w:semiHidden/>
    <w:rsid w:val="00071321"/>
    <w:pPr>
      <w:spacing w:after="0" w:line="240" w:lineRule="auto"/>
    </w:pPr>
  </w:style>
  <w:style w:type="character" w:styleId="BookTitle">
    <w:name w:val="Book Title"/>
    <w:basedOn w:val="DefaultParagraphFont"/>
    <w:uiPriority w:val="33"/>
    <w:qFormat/>
    <w:rsid w:val="00071321"/>
    <w:rPr>
      <w:b/>
      <w:bCs/>
      <w:i/>
      <w:iCs/>
      <w:spacing w:val="5"/>
    </w:rPr>
  </w:style>
  <w:style w:type="character" w:styleId="CommentReference">
    <w:name w:val="annotation reference"/>
    <w:basedOn w:val="DefaultParagraphFont"/>
    <w:uiPriority w:val="99"/>
    <w:semiHidden/>
    <w:unhideWhenUsed/>
    <w:rsid w:val="00071321"/>
    <w:rPr>
      <w:sz w:val="16"/>
      <w:szCs w:val="16"/>
    </w:rPr>
  </w:style>
  <w:style w:type="paragraph" w:styleId="CommentText">
    <w:name w:val="annotation text"/>
    <w:basedOn w:val="Normal"/>
    <w:link w:val="CommentTextChar"/>
    <w:uiPriority w:val="99"/>
    <w:unhideWhenUsed/>
    <w:rsid w:val="00071321"/>
    <w:pPr>
      <w:spacing w:line="240" w:lineRule="auto"/>
    </w:pPr>
    <w:rPr>
      <w:sz w:val="20"/>
      <w:szCs w:val="20"/>
    </w:rPr>
  </w:style>
  <w:style w:type="character" w:customStyle="1" w:styleId="CommentTextChar">
    <w:name w:val="Comment Text Char"/>
    <w:basedOn w:val="DefaultParagraphFont"/>
    <w:link w:val="CommentText"/>
    <w:uiPriority w:val="99"/>
    <w:rsid w:val="00071321"/>
    <w:rPr>
      <w:sz w:val="20"/>
      <w:szCs w:val="20"/>
    </w:rPr>
  </w:style>
  <w:style w:type="paragraph" w:styleId="CommentSubject">
    <w:name w:val="annotation subject"/>
    <w:basedOn w:val="CommentText"/>
    <w:next w:val="CommentText"/>
    <w:link w:val="CommentSubjectChar"/>
    <w:uiPriority w:val="99"/>
    <w:semiHidden/>
    <w:unhideWhenUsed/>
    <w:rsid w:val="00071321"/>
    <w:rPr>
      <w:b/>
      <w:bCs/>
    </w:rPr>
  </w:style>
  <w:style w:type="character" w:customStyle="1" w:styleId="CommentSubjectChar">
    <w:name w:val="Comment Subject Char"/>
    <w:basedOn w:val="CommentTextChar"/>
    <w:link w:val="CommentSubject"/>
    <w:uiPriority w:val="99"/>
    <w:semiHidden/>
    <w:rsid w:val="00071321"/>
    <w:rPr>
      <w:b/>
      <w:bCs/>
      <w:sz w:val="20"/>
      <w:szCs w:val="20"/>
    </w:rPr>
  </w:style>
  <w:style w:type="paragraph" w:styleId="Header">
    <w:name w:val="header"/>
    <w:basedOn w:val="Normal"/>
    <w:link w:val="HeaderChar"/>
    <w:uiPriority w:val="99"/>
    <w:unhideWhenUsed/>
    <w:rsid w:val="00824E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4E95"/>
  </w:style>
  <w:style w:type="paragraph" w:styleId="Footer">
    <w:name w:val="footer"/>
    <w:basedOn w:val="Normal"/>
    <w:link w:val="FooterChar"/>
    <w:uiPriority w:val="99"/>
    <w:unhideWhenUsed/>
    <w:rsid w:val="00824E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4E95"/>
  </w:style>
  <w:style w:type="paragraph" w:styleId="BalloonText">
    <w:name w:val="Balloon Text"/>
    <w:basedOn w:val="Normal"/>
    <w:link w:val="BalloonTextChar"/>
    <w:uiPriority w:val="99"/>
    <w:semiHidden/>
    <w:unhideWhenUsed/>
    <w:rsid w:val="00B17E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E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1497</Words>
  <Characters>8539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dc:creator>
  <cp:keywords/>
  <dc:description/>
  <cp:lastModifiedBy>Mindell, Jenny</cp:lastModifiedBy>
  <cp:revision>3</cp:revision>
  <dcterms:created xsi:type="dcterms:W3CDTF">2025-03-25T14:24:00Z</dcterms:created>
  <dcterms:modified xsi:type="dcterms:W3CDTF">2025-03-25T14:24:00Z</dcterms:modified>
</cp:coreProperties>
</file>