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4BB4" w14:textId="5DA03CAD" w:rsidR="004713D1" w:rsidRDefault="00D57FCB" w:rsidP="00C51A2E">
      <w:pPr>
        <w:spacing w:after="120"/>
        <w:rPr>
          <w:lang w:val="en-US"/>
        </w:rPr>
      </w:pPr>
      <w:r w:rsidRPr="00EF6828">
        <w:rPr>
          <w:b/>
          <w:bCs/>
          <w:sz w:val="28"/>
          <w:szCs w:val="28"/>
          <w:lang w:val="en-US"/>
        </w:rPr>
        <w:t>THSG Policy and Governance</w:t>
      </w:r>
      <w:r w:rsidR="00741B70">
        <w:rPr>
          <w:lang w:val="en-US"/>
        </w:rPr>
        <w:tab/>
      </w:r>
      <w:r w:rsidR="00741B70">
        <w:rPr>
          <w:lang w:val="en-US"/>
        </w:rPr>
        <w:tab/>
      </w:r>
      <w:r w:rsidR="00741B70">
        <w:rPr>
          <w:lang w:val="en-US"/>
        </w:rPr>
        <w:tab/>
      </w:r>
      <w:r w:rsidR="00741B70">
        <w:rPr>
          <w:lang w:val="en-US"/>
        </w:rPr>
        <w:tab/>
      </w:r>
      <w:r w:rsidR="00741B70">
        <w:rPr>
          <w:lang w:val="en-US"/>
        </w:rPr>
        <w:tab/>
      </w:r>
      <w:r w:rsidR="005178AA">
        <w:rPr>
          <w:lang w:val="en-US"/>
        </w:rPr>
        <w:t>January 25,</w:t>
      </w:r>
      <w:r w:rsidR="00570CBF">
        <w:rPr>
          <w:lang w:val="en-US"/>
        </w:rPr>
        <w:t xml:space="preserve"> 202</w:t>
      </w:r>
      <w:r w:rsidR="005178AA">
        <w:rPr>
          <w:lang w:val="en-US"/>
        </w:rPr>
        <w:t>6</w:t>
      </w:r>
    </w:p>
    <w:p w14:paraId="5397C19E" w14:textId="77777777" w:rsidR="001D63AD" w:rsidRDefault="001D63AD" w:rsidP="00C51A2E">
      <w:pPr>
        <w:spacing w:after="120"/>
        <w:rPr>
          <w:lang w:val="en-US"/>
        </w:rPr>
      </w:pPr>
    </w:p>
    <w:p w14:paraId="007CDE84" w14:textId="16EB3CC0" w:rsidR="001D63AD" w:rsidRDefault="00141678" w:rsidP="00C51A2E">
      <w:pPr>
        <w:spacing w:after="12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Risk Management Policy</w:t>
      </w:r>
    </w:p>
    <w:p w14:paraId="7CF46016" w14:textId="50F23830" w:rsidR="006070C8" w:rsidRPr="00DA103B" w:rsidRDefault="006070C8" w:rsidP="00C51A2E">
      <w:pPr>
        <w:spacing w:after="120"/>
        <w:rPr>
          <w:b/>
          <w:bCs/>
          <w:sz w:val="28"/>
          <w:szCs w:val="28"/>
          <w:lang w:val="en-GB"/>
        </w:rPr>
      </w:pPr>
      <w:r w:rsidRPr="006070C8">
        <w:rPr>
          <w:b/>
          <w:bCs/>
          <w:sz w:val="28"/>
          <w:szCs w:val="28"/>
          <w:lang w:val="en-GB"/>
        </w:rPr>
        <w:t>This policy has the status of a THSG standing order under THSG bye-laws</w:t>
      </w:r>
    </w:p>
    <w:p w14:paraId="30344B9C" w14:textId="5C1AAF15" w:rsidR="006E431F" w:rsidRPr="00823161" w:rsidRDefault="006E431F" w:rsidP="00C51A2E">
      <w:pPr>
        <w:spacing w:after="120"/>
        <w:rPr>
          <w:b/>
          <w:bCs/>
          <w:sz w:val="24"/>
          <w:szCs w:val="24"/>
          <w:lang w:val="en-US"/>
        </w:rPr>
      </w:pPr>
      <w:r w:rsidRPr="006E431F">
        <w:rPr>
          <w:rFonts w:ascii="Arial" w:hAnsi="Arial" w:cs="Arial"/>
          <w:b/>
          <w:bCs/>
          <w:sz w:val="24"/>
          <w:szCs w:val="24"/>
          <w:lang w:val="en-US"/>
        </w:rPr>
        <w:t>Principles</w:t>
      </w:r>
      <w:r>
        <w:rPr>
          <w:b/>
          <w:bCs/>
          <w:sz w:val="24"/>
          <w:szCs w:val="24"/>
          <w:lang w:val="en-US"/>
        </w:rPr>
        <w:t>:</w:t>
      </w:r>
    </w:p>
    <w:p w14:paraId="0400840F" w14:textId="2E20FAEC" w:rsidR="001D63AD" w:rsidRDefault="001D63AD" w:rsidP="00C51A2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1D63A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Protecting people</w:t>
      </w:r>
      <w:r w:rsidR="00EF682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, safeguarding responsibilities and managing risk are</w:t>
      </w:r>
      <w:r w:rsidRPr="001D63A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governance priorit</w:t>
      </w:r>
      <w:r w:rsidR="00EF682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ies</w:t>
      </w:r>
      <w:r w:rsidRPr="001D63A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for all charities. </w:t>
      </w:r>
      <w:r w:rsidR="00EF6828" w:rsidRPr="00EF6828">
        <w:rPr>
          <w:rFonts w:ascii="Arial" w:hAnsi="Arial" w:cs="Arial"/>
          <w:color w:val="222527"/>
          <w:kern w:val="0"/>
          <w:sz w:val="24"/>
          <w:szCs w:val="24"/>
          <w:lang w:val="en-US"/>
        </w:rPr>
        <w:t xml:space="preserve">The </w:t>
      </w:r>
      <w:r w:rsidR="00E767D5">
        <w:rPr>
          <w:rFonts w:ascii="Arial" w:hAnsi="Arial" w:cs="Arial"/>
          <w:color w:val="222527"/>
          <w:kern w:val="0"/>
          <w:sz w:val="24"/>
          <w:szCs w:val="24"/>
          <w:lang w:val="en-US"/>
        </w:rPr>
        <w:t>THSG B</w:t>
      </w:r>
      <w:r w:rsidR="00EF6828" w:rsidRPr="00EF6828">
        <w:rPr>
          <w:rFonts w:ascii="Arial" w:hAnsi="Arial" w:cs="Arial"/>
          <w:color w:val="222527"/>
          <w:kern w:val="0"/>
          <w:sz w:val="24"/>
          <w:szCs w:val="24"/>
          <w:lang w:val="en-US"/>
        </w:rPr>
        <w:t>oard makes sure that effective delegation, control</w:t>
      </w:r>
      <w:r w:rsidR="00E767D5">
        <w:rPr>
          <w:rFonts w:ascii="Arial" w:hAnsi="Arial" w:cs="Arial"/>
          <w:color w:val="222527"/>
          <w:kern w:val="0"/>
          <w:sz w:val="24"/>
          <w:szCs w:val="24"/>
          <w:lang w:val="en-US"/>
        </w:rPr>
        <w:t>,</w:t>
      </w:r>
      <w:r w:rsidR="00EF6828" w:rsidRPr="00EF6828">
        <w:rPr>
          <w:rFonts w:ascii="Arial" w:hAnsi="Arial" w:cs="Arial"/>
          <w:color w:val="222527"/>
          <w:kern w:val="0"/>
          <w:sz w:val="24"/>
          <w:szCs w:val="24"/>
          <w:lang w:val="en-US"/>
        </w:rPr>
        <w:t xml:space="preserve"> risk-assessment, and</w:t>
      </w:r>
      <w:r w:rsidR="00EF6828">
        <w:rPr>
          <w:rFonts w:ascii="Arial" w:hAnsi="Arial" w:cs="Arial"/>
          <w:color w:val="222527"/>
          <w:kern w:val="0"/>
          <w:sz w:val="24"/>
          <w:szCs w:val="24"/>
          <w:lang w:val="en-US"/>
        </w:rPr>
        <w:t xml:space="preserve"> </w:t>
      </w:r>
      <w:r w:rsidR="00EF6828" w:rsidRPr="00EF6828">
        <w:rPr>
          <w:rFonts w:ascii="Arial" w:hAnsi="Arial" w:cs="Arial"/>
          <w:color w:val="222527"/>
          <w:kern w:val="0"/>
          <w:sz w:val="24"/>
          <w:szCs w:val="24"/>
          <w:lang w:val="en-US"/>
        </w:rPr>
        <w:t>management systems are set up and monitored.</w:t>
      </w:r>
      <w:r w:rsidR="00EF6828" w:rsidRPr="00EF682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</w:t>
      </w:r>
    </w:p>
    <w:p w14:paraId="54384F1B" w14:textId="77777777" w:rsidR="00293395" w:rsidRDefault="00293395" w:rsidP="00C51A2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1D63A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As part of fulfilling trustee duties, whether working online or in person,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trustees</w:t>
      </w:r>
      <w:r w:rsidRPr="001D63A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must take reasonable steps to protect from harm people who come into contact with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THSG including:</w:t>
      </w:r>
    </w:p>
    <w:p w14:paraId="0F3FABE8" w14:textId="707FDD39" w:rsidR="00293395" w:rsidRDefault="00293395" w:rsidP="00C51A2E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p</w:t>
      </w:r>
      <w:r w:rsidRPr="006E431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eople who benefit from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</w:t>
      </w:r>
      <w:r w:rsidRPr="006E431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THSG’s work</w:t>
      </w:r>
    </w:p>
    <w:p w14:paraId="18B2A8BE" w14:textId="6BE5F265" w:rsidR="00293395" w:rsidRPr="006E431F" w:rsidRDefault="00293395" w:rsidP="00C51A2E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6E431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staff</w:t>
      </w:r>
      <w:r w:rsidR="00FC47E1">
        <w:rPr>
          <w:rStyle w:val="FootnoteReference"/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footnoteReference w:id="1"/>
      </w:r>
      <w:r w:rsidRPr="006E431F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and volunteers</w:t>
      </w:r>
      <w:r w:rsidR="00E767D5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.</w:t>
      </w:r>
    </w:p>
    <w:p w14:paraId="3A1B6AF4" w14:textId="5779B758" w:rsidR="00293395" w:rsidRDefault="00293395" w:rsidP="00C51A2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1D63A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Trustees are expected to report safeguarding matters to the relevant agencies (such as the police</w:t>
      </w:r>
      <w:r w:rsidR="004A5EC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)</w:t>
      </w:r>
      <w:r w:rsidRPr="001D63A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and</w:t>
      </w:r>
      <w:r w:rsidR="007A0451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are responsible</w:t>
      </w:r>
      <w:r w:rsidRPr="001D63AD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 for putting matters right if things go wrong</w:t>
      </w:r>
    </w:p>
    <w:p w14:paraId="5AC3D74F" w14:textId="77777777" w:rsidR="00830FFF" w:rsidRDefault="00830FFF" w:rsidP="00C51A2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</w:p>
    <w:p w14:paraId="05AA2E4D" w14:textId="1C373269" w:rsidR="00293395" w:rsidRDefault="006E431F" w:rsidP="00C51A2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6E431F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val="en-US"/>
          <w14:ligatures w14:val="none"/>
        </w:rPr>
        <w:t>Policy:</w:t>
      </w:r>
    </w:p>
    <w:p w14:paraId="0D8A6895" w14:textId="13063542" w:rsidR="004A5EC8" w:rsidRDefault="00293395" w:rsidP="00B31B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hAnsi="Arial" w:cs="Arial"/>
          <w:color w:val="222527"/>
          <w:kern w:val="0"/>
          <w:sz w:val="24"/>
          <w:szCs w:val="24"/>
          <w:lang w:val="en-US"/>
        </w:rPr>
      </w:pPr>
      <w:r w:rsidRPr="004A5EC8">
        <w:rPr>
          <w:rFonts w:ascii="Arial" w:hAnsi="Arial" w:cs="Arial"/>
          <w:color w:val="222527"/>
          <w:kern w:val="0"/>
          <w:sz w:val="24"/>
          <w:szCs w:val="24"/>
          <w:lang w:val="en-US"/>
        </w:rPr>
        <w:t xml:space="preserve">The </w:t>
      </w:r>
      <w:r w:rsidR="00C51A2E">
        <w:rPr>
          <w:rFonts w:ascii="Arial" w:hAnsi="Arial" w:cs="Arial"/>
          <w:color w:val="222527"/>
          <w:kern w:val="0"/>
          <w:sz w:val="24"/>
          <w:szCs w:val="24"/>
          <w:lang w:val="en-US"/>
        </w:rPr>
        <w:t>B</w:t>
      </w:r>
      <w:r w:rsidRPr="004A5EC8">
        <w:rPr>
          <w:rFonts w:ascii="Arial" w:hAnsi="Arial" w:cs="Arial"/>
          <w:color w:val="222527"/>
          <w:kern w:val="0"/>
          <w:sz w:val="24"/>
          <w:szCs w:val="24"/>
          <w:lang w:val="en-US"/>
        </w:rPr>
        <w:t>oard retains overall responsibility for risk management and discusses and decides the level of risk it is prepared to accept for specific and combined risks</w:t>
      </w:r>
      <w:r w:rsidR="004A5EC8">
        <w:rPr>
          <w:rFonts w:ascii="Arial" w:hAnsi="Arial" w:cs="Arial"/>
          <w:color w:val="222527"/>
          <w:kern w:val="0"/>
          <w:sz w:val="24"/>
          <w:szCs w:val="24"/>
          <w:lang w:val="en-US"/>
        </w:rPr>
        <w:t>.</w:t>
      </w:r>
    </w:p>
    <w:p w14:paraId="5D46A70F" w14:textId="31FA5E9E" w:rsidR="00293395" w:rsidRPr="004A5EC8" w:rsidRDefault="004A5EC8" w:rsidP="00B31B04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222527"/>
          <w:kern w:val="0"/>
          <w:sz w:val="24"/>
          <w:szCs w:val="24"/>
          <w:lang w:val="en-US"/>
        </w:rPr>
        <w:t>The Board will maintain a risk register (Art. 125A) which it</w:t>
      </w:r>
      <w:r w:rsidRPr="004A5EC8">
        <w:rPr>
          <w:rFonts w:ascii="Arial" w:hAnsi="Arial" w:cs="Arial"/>
          <w:color w:val="222527"/>
          <w:kern w:val="0"/>
          <w:sz w:val="24"/>
          <w:szCs w:val="24"/>
          <w:lang w:val="en-US"/>
        </w:rPr>
        <w:t xml:space="preserve"> regularly reviews </w:t>
      </w:r>
      <w:r>
        <w:rPr>
          <w:rFonts w:ascii="Arial" w:hAnsi="Arial" w:cs="Arial"/>
          <w:color w:val="222527"/>
          <w:kern w:val="0"/>
          <w:sz w:val="24"/>
          <w:szCs w:val="24"/>
          <w:lang w:val="en-US"/>
        </w:rPr>
        <w:t xml:space="preserve">and </w:t>
      </w:r>
      <w:r w:rsidRPr="004A5EC8">
        <w:rPr>
          <w:rFonts w:ascii="Arial" w:hAnsi="Arial" w:cs="Arial"/>
          <w:color w:val="222527"/>
          <w:kern w:val="0"/>
          <w:sz w:val="24"/>
          <w:szCs w:val="24"/>
          <w:lang w:val="en-US"/>
        </w:rPr>
        <w:t xml:space="preserve">makes plans to mitigate and manage risks appropriately. </w:t>
      </w:r>
    </w:p>
    <w:p w14:paraId="17D52C10" w14:textId="7829F676" w:rsidR="004A5EC8" w:rsidRPr="004A5EC8" w:rsidRDefault="004A5EC8" w:rsidP="00B31B04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222527"/>
          <w:kern w:val="0"/>
          <w:sz w:val="24"/>
          <w:szCs w:val="24"/>
          <w:lang w:val="en-US"/>
        </w:rPr>
        <w:t xml:space="preserve">The Board will annually review the effectiveness of THSG’s approach to managing risk and describe the approach and outcome in its annual report. </w:t>
      </w:r>
    </w:p>
    <w:p w14:paraId="69E0143E" w14:textId="5FBEA25F" w:rsidR="003A0C02" w:rsidRPr="004A5EC8" w:rsidRDefault="003A0C02" w:rsidP="00C51A2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 w:rsidRPr="004A5EC8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The Board is required to report any serious incidents to the Charity Commission (Art. 125A). A serious incident is an adverse event, whether actual or alleged, which results in or risks significant:</w:t>
      </w:r>
    </w:p>
    <w:p w14:paraId="72C619C5" w14:textId="59865B54" w:rsidR="003A0C02" w:rsidRDefault="003A0C02" w:rsidP="00C51A2E">
      <w:pPr>
        <w:pStyle w:val="ListParagraph"/>
        <w:numPr>
          <w:ilvl w:val="1"/>
          <w:numId w:val="1"/>
        </w:numPr>
        <w:shd w:val="clear" w:color="auto" w:fill="FFFFFF"/>
        <w:tabs>
          <w:tab w:val="clear" w:pos="1080"/>
          <w:tab w:val="num" w:pos="720"/>
        </w:tabs>
        <w:spacing w:after="120" w:line="240" w:lineRule="auto"/>
        <w:ind w:left="72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harm to THSG’s beneficiaries, staff, volunteers or others who come into contact with </w:t>
      </w:r>
      <w:r w:rsidR="00C51A2E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 xml:space="preserve">THSG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through our work,</w:t>
      </w:r>
    </w:p>
    <w:p w14:paraId="2F63B10B" w14:textId="35ABC32C" w:rsidR="003A0C02" w:rsidRDefault="003A0C02" w:rsidP="00C51A2E">
      <w:pPr>
        <w:pStyle w:val="ListParagraph"/>
        <w:numPr>
          <w:ilvl w:val="1"/>
          <w:numId w:val="1"/>
        </w:numPr>
        <w:shd w:val="clear" w:color="auto" w:fill="FFFFFF"/>
        <w:tabs>
          <w:tab w:val="clear" w:pos="1080"/>
          <w:tab w:val="num" w:pos="720"/>
        </w:tabs>
        <w:spacing w:after="120" w:line="240" w:lineRule="auto"/>
        <w:ind w:left="72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loss of THSG’s money or assets,</w:t>
      </w:r>
    </w:p>
    <w:p w14:paraId="3FD6465D" w14:textId="410A6C39" w:rsidR="003A0C02" w:rsidRDefault="003A0C02" w:rsidP="00C51A2E">
      <w:pPr>
        <w:pStyle w:val="ListParagraph"/>
        <w:numPr>
          <w:ilvl w:val="1"/>
          <w:numId w:val="1"/>
        </w:numPr>
        <w:shd w:val="clear" w:color="auto" w:fill="FFFFFF"/>
        <w:tabs>
          <w:tab w:val="clear" w:pos="1080"/>
          <w:tab w:val="num" w:pos="720"/>
        </w:tabs>
        <w:spacing w:after="120" w:line="240" w:lineRule="auto"/>
        <w:ind w:left="72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damage to THSG’s property, or</w:t>
      </w:r>
    </w:p>
    <w:p w14:paraId="7328E95E" w14:textId="6D73DE6A" w:rsidR="003A0C02" w:rsidRPr="003A0C02" w:rsidRDefault="003A0C02" w:rsidP="00C51A2E">
      <w:pPr>
        <w:pStyle w:val="ListParagraph"/>
        <w:numPr>
          <w:ilvl w:val="1"/>
          <w:numId w:val="1"/>
        </w:numPr>
        <w:shd w:val="clear" w:color="auto" w:fill="FFFFFF"/>
        <w:tabs>
          <w:tab w:val="clear" w:pos="1080"/>
          <w:tab w:val="num" w:pos="720"/>
        </w:tabs>
        <w:spacing w:after="120" w:line="240" w:lineRule="auto"/>
        <w:ind w:left="720"/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harm to THSG’s work or reputation (Art. 125B)</w:t>
      </w:r>
      <w:r w:rsidR="00E767D5">
        <w:rPr>
          <w:rFonts w:ascii="Arial" w:eastAsia="Times New Roman" w:hAnsi="Arial" w:cs="Arial"/>
          <w:color w:val="0B0C0C"/>
          <w:kern w:val="0"/>
          <w:sz w:val="24"/>
          <w:szCs w:val="24"/>
          <w:lang w:val="en-US"/>
          <w14:ligatures w14:val="none"/>
        </w:rPr>
        <w:t>.</w:t>
      </w:r>
    </w:p>
    <w:p w14:paraId="0A7BDE21" w14:textId="4F9BDED3" w:rsidR="003A0C02" w:rsidRPr="00293395" w:rsidRDefault="003A0C02" w:rsidP="00C51A2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A0C02">
        <w:rPr>
          <w:rFonts w:ascii="Arial" w:hAnsi="Arial" w:cs="Arial"/>
          <w:iCs/>
          <w:sz w:val="24"/>
          <w:szCs w:val="24"/>
          <w:lang w:val="en-US"/>
        </w:rPr>
        <w:t xml:space="preserve">It is impossible to give a full list of what might be ‘serious incidents’. </w:t>
      </w:r>
      <w:r w:rsidRPr="00293395">
        <w:rPr>
          <w:rFonts w:ascii="Arial" w:hAnsi="Arial" w:cs="Arial"/>
          <w:iCs/>
          <w:sz w:val="24"/>
          <w:szCs w:val="24"/>
          <w:lang w:val="en-US"/>
        </w:rPr>
        <w:t>However</w:t>
      </w:r>
      <w:r w:rsidR="00E31DA6">
        <w:rPr>
          <w:rFonts w:ascii="Arial" w:hAnsi="Arial" w:cs="Arial"/>
          <w:iCs/>
          <w:sz w:val="24"/>
          <w:szCs w:val="24"/>
          <w:lang w:val="en-US"/>
        </w:rPr>
        <w:t>,</w:t>
      </w:r>
      <w:r w:rsidRPr="00293395">
        <w:rPr>
          <w:rFonts w:ascii="Arial" w:hAnsi="Arial" w:cs="Arial"/>
          <w:iCs/>
          <w:sz w:val="24"/>
          <w:szCs w:val="24"/>
          <w:lang w:val="en-US"/>
        </w:rPr>
        <w:t xml:space="preserve"> the main categories of incidents are:</w:t>
      </w:r>
    </w:p>
    <w:p w14:paraId="4D054B50" w14:textId="77777777" w:rsidR="003A0C02" w:rsidRPr="003A0C02" w:rsidRDefault="003A0C02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 w:rsidRPr="003A0C02">
        <w:rPr>
          <w:rFonts w:ascii="Arial" w:hAnsi="Arial" w:cs="Arial"/>
          <w:iCs/>
          <w:sz w:val="24"/>
          <w:szCs w:val="24"/>
          <w:lang w:val="en-US"/>
        </w:rPr>
        <w:t>• protecting people and safeguarding incidents;</w:t>
      </w:r>
    </w:p>
    <w:p w14:paraId="5F272629" w14:textId="77777777" w:rsidR="003A0C02" w:rsidRPr="003A0C02" w:rsidRDefault="003A0C02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 w:rsidRPr="003A0C02">
        <w:rPr>
          <w:rFonts w:ascii="Arial" w:hAnsi="Arial" w:cs="Arial"/>
          <w:iCs/>
          <w:sz w:val="24"/>
          <w:szCs w:val="24"/>
          <w:lang w:val="en-US"/>
        </w:rPr>
        <w:t>• financial crimes – fraud, theft, cyber-crime and money laundering;</w:t>
      </w:r>
    </w:p>
    <w:p w14:paraId="691D0E7E" w14:textId="77777777" w:rsidR="00E767D5" w:rsidRDefault="003A0C02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 w:rsidRPr="003A0C02">
        <w:rPr>
          <w:rFonts w:ascii="Arial" w:hAnsi="Arial" w:cs="Arial"/>
          <w:iCs/>
          <w:sz w:val="24"/>
          <w:szCs w:val="24"/>
          <w:lang w:val="en-US"/>
        </w:rPr>
        <w:t>• large donations from an unknown or unverifiable source, or suspicious financial</w:t>
      </w:r>
    </w:p>
    <w:p w14:paraId="7BEFD486" w14:textId="727E5422" w:rsidR="003A0C02" w:rsidRPr="003A0C02" w:rsidRDefault="00E767D5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lastRenderedPageBreak/>
        <w:t xml:space="preserve"> </w:t>
      </w:r>
      <w:r w:rsidR="003A0C02" w:rsidRPr="003A0C02">
        <w:rPr>
          <w:rFonts w:ascii="Arial" w:hAnsi="Arial" w:cs="Arial"/>
          <w:iCs/>
          <w:sz w:val="24"/>
          <w:szCs w:val="24"/>
          <w:lang w:val="en-US"/>
        </w:rPr>
        <w:t xml:space="preserve"> activity using the charity’s funds;</w:t>
      </w:r>
    </w:p>
    <w:p w14:paraId="3AB90C85" w14:textId="77777777" w:rsidR="003A0C02" w:rsidRPr="00141678" w:rsidRDefault="003A0C02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 w:rsidRPr="00141678">
        <w:rPr>
          <w:rFonts w:ascii="Arial" w:hAnsi="Arial" w:cs="Arial"/>
          <w:iCs/>
          <w:sz w:val="24"/>
          <w:szCs w:val="24"/>
          <w:lang w:val="en-US"/>
        </w:rPr>
        <w:t>• other significant financial loss;</w:t>
      </w:r>
    </w:p>
    <w:p w14:paraId="2BFE44D1" w14:textId="6F933A7C" w:rsidR="00E767D5" w:rsidRDefault="003A0C02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 w:rsidRPr="003A0C02">
        <w:rPr>
          <w:rFonts w:ascii="Arial" w:hAnsi="Arial" w:cs="Arial"/>
          <w:iCs/>
          <w:sz w:val="24"/>
          <w:szCs w:val="24"/>
          <w:lang w:val="en-US"/>
        </w:rPr>
        <w:t>• links to terrorism or extremism, including proscribed organi</w:t>
      </w:r>
      <w:r w:rsidR="00E767D5">
        <w:rPr>
          <w:rFonts w:ascii="Arial" w:hAnsi="Arial" w:cs="Arial"/>
          <w:iCs/>
          <w:sz w:val="24"/>
          <w:szCs w:val="24"/>
          <w:lang w:val="en-US"/>
        </w:rPr>
        <w:t>z</w:t>
      </w:r>
      <w:r w:rsidRPr="003A0C02">
        <w:rPr>
          <w:rFonts w:ascii="Arial" w:hAnsi="Arial" w:cs="Arial"/>
          <w:iCs/>
          <w:sz w:val="24"/>
          <w:szCs w:val="24"/>
          <w:lang w:val="en-US"/>
        </w:rPr>
        <w:t xml:space="preserve">ations, individuals </w:t>
      </w:r>
    </w:p>
    <w:p w14:paraId="68221D43" w14:textId="3240F47D" w:rsidR="003A0C02" w:rsidRPr="003A0C02" w:rsidRDefault="00E767D5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 xml:space="preserve">  </w:t>
      </w:r>
      <w:r w:rsidR="003A0C02" w:rsidRPr="003A0C02">
        <w:rPr>
          <w:rFonts w:ascii="Arial" w:hAnsi="Arial" w:cs="Arial"/>
          <w:iCs/>
          <w:sz w:val="24"/>
          <w:szCs w:val="24"/>
          <w:lang w:val="en-US"/>
        </w:rPr>
        <w:t>subject to an asset freeze, or kidnapping of staff;</w:t>
      </w:r>
    </w:p>
    <w:p w14:paraId="7FC97019" w14:textId="0DEFE9F0" w:rsidR="003A0C02" w:rsidRPr="003A0C02" w:rsidRDefault="003A0C02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 w:rsidRPr="003A0C02">
        <w:rPr>
          <w:rFonts w:ascii="Arial" w:hAnsi="Arial" w:cs="Arial"/>
          <w:iCs/>
          <w:sz w:val="24"/>
          <w:szCs w:val="24"/>
          <w:lang w:val="en-US"/>
        </w:rPr>
        <w:t xml:space="preserve">• suspicions, allegations or incidents of abuse </w:t>
      </w:r>
      <w:r w:rsidR="007A0451">
        <w:rPr>
          <w:rFonts w:ascii="Arial" w:hAnsi="Arial" w:cs="Arial"/>
          <w:iCs/>
          <w:sz w:val="24"/>
          <w:szCs w:val="24"/>
          <w:lang w:val="en-US"/>
        </w:rPr>
        <w:t xml:space="preserve">connected with THSG </w:t>
      </w:r>
      <w:r w:rsidRPr="003A0C02">
        <w:rPr>
          <w:rFonts w:ascii="Arial" w:hAnsi="Arial" w:cs="Arial"/>
          <w:iCs/>
          <w:sz w:val="24"/>
          <w:szCs w:val="24"/>
          <w:lang w:val="en-US"/>
        </w:rPr>
        <w:t>involving beneficiaries; and</w:t>
      </w:r>
    </w:p>
    <w:p w14:paraId="56E848FD" w14:textId="77777777" w:rsidR="00E767D5" w:rsidRDefault="003A0C02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 w:rsidRPr="003A0C02">
        <w:rPr>
          <w:rFonts w:ascii="Arial" w:hAnsi="Arial" w:cs="Arial"/>
          <w:iCs/>
          <w:sz w:val="24"/>
          <w:szCs w:val="24"/>
          <w:lang w:val="en-US"/>
        </w:rPr>
        <w:t>• other significant incidents, such as insolvency, forced withdrawal of banking</w:t>
      </w:r>
    </w:p>
    <w:p w14:paraId="51BDA55F" w14:textId="7E3789A6" w:rsidR="00E767D5" w:rsidRDefault="00E767D5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 xml:space="preserve">  </w:t>
      </w:r>
      <w:r w:rsidR="003A0C02" w:rsidRPr="003A0C02">
        <w:rPr>
          <w:rFonts w:ascii="Arial" w:hAnsi="Arial" w:cs="Arial"/>
          <w:iCs/>
          <w:sz w:val="24"/>
          <w:szCs w:val="24"/>
          <w:lang w:val="en-US"/>
        </w:rPr>
        <w:t xml:space="preserve">services without an alternative, significant data breaches/losses or incidents </w:t>
      </w:r>
    </w:p>
    <w:p w14:paraId="6DDE6A56" w14:textId="457C890E" w:rsidR="003A0C02" w:rsidRDefault="00E767D5" w:rsidP="00C51A2E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iCs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 xml:space="preserve">   </w:t>
      </w:r>
      <w:r w:rsidR="003A0C02" w:rsidRPr="003A0C02">
        <w:rPr>
          <w:rFonts w:ascii="Arial" w:hAnsi="Arial" w:cs="Arial"/>
          <w:iCs/>
          <w:sz w:val="24"/>
          <w:szCs w:val="24"/>
          <w:lang w:val="en-US"/>
        </w:rPr>
        <w:t xml:space="preserve">involving partners that materially affect </w:t>
      </w:r>
      <w:r w:rsidR="0077176B">
        <w:rPr>
          <w:rFonts w:ascii="Arial" w:hAnsi="Arial" w:cs="Arial"/>
          <w:iCs/>
          <w:sz w:val="24"/>
          <w:szCs w:val="24"/>
          <w:lang w:val="en-US"/>
        </w:rPr>
        <w:t>THSG</w:t>
      </w:r>
      <w:r w:rsidR="003A0C02" w:rsidRPr="003A0C02">
        <w:rPr>
          <w:rFonts w:ascii="Arial" w:hAnsi="Arial" w:cs="Arial"/>
          <w:iCs/>
          <w:sz w:val="24"/>
          <w:szCs w:val="24"/>
          <w:lang w:val="en-US"/>
        </w:rPr>
        <w:t>. (Art. 125D</w:t>
      </w:r>
      <w:r w:rsidR="00E157AB">
        <w:rPr>
          <w:rFonts w:ascii="Arial" w:hAnsi="Arial" w:cs="Arial"/>
          <w:iCs/>
          <w:szCs w:val="24"/>
          <w:lang w:val="en-US"/>
        </w:rPr>
        <w:t>)</w:t>
      </w:r>
    </w:p>
    <w:p w14:paraId="1CE86896" w14:textId="68C97FDC" w:rsidR="007A0451" w:rsidRPr="00E31DA6" w:rsidRDefault="00E31DA6" w:rsidP="00E31DA6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iCs/>
          <w:szCs w:val="24"/>
          <w:lang w:val="en-US"/>
        </w:rPr>
        <w:t xml:space="preserve">5. </w:t>
      </w:r>
      <w:r w:rsidR="007A0451" w:rsidRPr="00E31DA6">
        <w:rPr>
          <w:rFonts w:ascii="Arial" w:hAnsi="Arial" w:cs="Arial"/>
          <w:iCs/>
          <w:szCs w:val="24"/>
          <w:lang w:val="en-US"/>
        </w:rPr>
        <w:t>Where THSG’s work is used by external bodies, they must indemnify THSG against any claims made by their client.</w:t>
      </w:r>
    </w:p>
    <w:sectPr w:rsidR="007A0451" w:rsidRPr="00E31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902E" w14:textId="77777777" w:rsidR="00910E63" w:rsidRDefault="00910E63" w:rsidP="00741B70">
      <w:pPr>
        <w:spacing w:after="0" w:line="240" w:lineRule="auto"/>
      </w:pPr>
      <w:r>
        <w:separator/>
      </w:r>
    </w:p>
  </w:endnote>
  <w:endnote w:type="continuationSeparator" w:id="0">
    <w:p w14:paraId="650C908B" w14:textId="77777777" w:rsidR="00910E63" w:rsidRDefault="00910E63" w:rsidP="0074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4E4F" w14:textId="77777777" w:rsidR="00741B70" w:rsidRDefault="00741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B930" w14:textId="77777777" w:rsidR="00741B70" w:rsidRDefault="00741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5B12" w14:textId="77777777" w:rsidR="00741B70" w:rsidRDefault="00741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0DDF" w14:textId="77777777" w:rsidR="00910E63" w:rsidRDefault="00910E63" w:rsidP="00741B70">
      <w:pPr>
        <w:spacing w:after="0" w:line="240" w:lineRule="auto"/>
      </w:pPr>
      <w:r>
        <w:separator/>
      </w:r>
    </w:p>
  </w:footnote>
  <w:footnote w:type="continuationSeparator" w:id="0">
    <w:p w14:paraId="619A6F1F" w14:textId="77777777" w:rsidR="00910E63" w:rsidRDefault="00910E63" w:rsidP="00741B70">
      <w:pPr>
        <w:spacing w:after="0" w:line="240" w:lineRule="auto"/>
      </w:pPr>
      <w:r>
        <w:continuationSeparator/>
      </w:r>
    </w:p>
  </w:footnote>
  <w:footnote w:id="1">
    <w:p w14:paraId="4110F939" w14:textId="7D21F14D" w:rsidR="00FC47E1" w:rsidRPr="00FC47E1" w:rsidRDefault="00FC47E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C47E1">
        <w:rPr>
          <w:lang w:val="en-US"/>
        </w:rPr>
        <w:t xml:space="preserve"> </w:t>
      </w:r>
      <w:r>
        <w:rPr>
          <w:lang w:val="en-US"/>
        </w:rPr>
        <w:t xml:space="preserve">As of January 2026, THSG does not have any staff.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69BE" w14:textId="77777777" w:rsidR="00741B70" w:rsidRDefault="00741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C768" w14:textId="72F8D8A3" w:rsidR="00741B70" w:rsidRDefault="00741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9A73" w14:textId="77777777" w:rsidR="00741B70" w:rsidRDefault="00741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5EF2"/>
    <w:multiLevelType w:val="multilevel"/>
    <w:tmpl w:val="52E8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BE1353"/>
    <w:multiLevelType w:val="hybridMultilevel"/>
    <w:tmpl w:val="6994C04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B0C0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3674E"/>
    <w:multiLevelType w:val="multilevel"/>
    <w:tmpl w:val="E1F2C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C1C88"/>
    <w:multiLevelType w:val="hybridMultilevel"/>
    <w:tmpl w:val="6994C04C"/>
    <w:lvl w:ilvl="0" w:tplc="3E1281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B0C0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5783C"/>
    <w:multiLevelType w:val="multilevel"/>
    <w:tmpl w:val="F5E2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775A73"/>
    <w:multiLevelType w:val="multilevel"/>
    <w:tmpl w:val="82B6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4743090">
    <w:abstractNumId w:val="2"/>
  </w:num>
  <w:num w:numId="2" w16cid:durableId="745610581">
    <w:abstractNumId w:val="4"/>
  </w:num>
  <w:num w:numId="3" w16cid:durableId="5912166">
    <w:abstractNumId w:val="5"/>
  </w:num>
  <w:num w:numId="4" w16cid:durableId="1828934995">
    <w:abstractNumId w:val="0"/>
  </w:num>
  <w:num w:numId="5" w16cid:durableId="1097750711">
    <w:abstractNumId w:val="3"/>
  </w:num>
  <w:num w:numId="6" w16cid:durableId="44207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CB"/>
    <w:rsid w:val="00073D32"/>
    <w:rsid w:val="00141678"/>
    <w:rsid w:val="001D63AD"/>
    <w:rsid w:val="001E2CCA"/>
    <w:rsid w:val="00220CAC"/>
    <w:rsid w:val="00272400"/>
    <w:rsid w:val="0028696F"/>
    <w:rsid w:val="00293395"/>
    <w:rsid w:val="003A0C02"/>
    <w:rsid w:val="003B7B17"/>
    <w:rsid w:val="004052BC"/>
    <w:rsid w:val="004375E0"/>
    <w:rsid w:val="004713D1"/>
    <w:rsid w:val="004A5EC8"/>
    <w:rsid w:val="00503E2B"/>
    <w:rsid w:val="005178AA"/>
    <w:rsid w:val="00556C90"/>
    <w:rsid w:val="00570CBF"/>
    <w:rsid w:val="00581816"/>
    <w:rsid w:val="006070C8"/>
    <w:rsid w:val="0061486D"/>
    <w:rsid w:val="006E431F"/>
    <w:rsid w:val="00733802"/>
    <w:rsid w:val="00741B70"/>
    <w:rsid w:val="007564BC"/>
    <w:rsid w:val="0077176B"/>
    <w:rsid w:val="00781187"/>
    <w:rsid w:val="007A0451"/>
    <w:rsid w:val="007B1335"/>
    <w:rsid w:val="008039FC"/>
    <w:rsid w:val="00806516"/>
    <w:rsid w:val="0081546B"/>
    <w:rsid w:val="00823161"/>
    <w:rsid w:val="00830FFF"/>
    <w:rsid w:val="0087001E"/>
    <w:rsid w:val="00880C56"/>
    <w:rsid w:val="0089508D"/>
    <w:rsid w:val="008A5B24"/>
    <w:rsid w:val="008B41A9"/>
    <w:rsid w:val="00910E63"/>
    <w:rsid w:val="00A00F66"/>
    <w:rsid w:val="00B31B04"/>
    <w:rsid w:val="00C51A2E"/>
    <w:rsid w:val="00D11F64"/>
    <w:rsid w:val="00D1456F"/>
    <w:rsid w:val="00D23EFF"/>
    <w:rsid w:val="00D35270"/>
    <w:rsid w:val="00D57FCB"/>
    <w:rsid w:val="00DA103B"/>
    <w:rsid w:val="00E157AB"/>
    <w:rsid w:val="00E31DA6"/>
    <w:rsid w:val="00E767D5"/>
    <w:rsid w:val="00E83649"/>
    <w:rsid w:val="00ED33D0"/>
    <w:rsid w:val="00EF6828"/>
    <w:rsid w:val="00F0458F"/>
    <w:rsid w:val="00F4655F"/>
    <w:rsid w:val="00F55601"/>
    <w:rsid w:val="00F61776"/>
    <w:rsid w:val="00F91F56"/>
    <w:rsid w:val="00FB400A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70F15"/>
  <w15:chartTrackingRefBased/>
  <w15:docId w15:val="{02BB9FB4-4CC1-4C58-AD3B-827D0DB2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F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F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FCB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FCB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FCB"/>
    <w:rPr>
      <w:rFonts w:eastAsiaTheme="majorEastAsia" w:cstheme="majorBidi"/>
      <w:color w:val="0F4761" w:themeColor="accent1" w:themeShade="BF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FCB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FCB"/>
    <w:rPr>
      <w:rFonts w:eastAsiaTheme="majorEastAsia" w:cstheme="majorBidi"/>
      <w:color w:val="595959" w:themeColor="text1" w:themeTint="A6"/>
      <w:lang w:val="fr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FCB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FCB"/>
    <w:rPr>
      <w:rFonts w:eastAsiaTheme="majorEastAsia" w:cstheme="majorBidi"/>
      <w:color w:val="272727" w:themeColor="text1" w:themeTint="D8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D5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FCB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FCB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D5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FCB"/>
    <w:rPr>
      <w:i/>
      <w:iCs/>
      <w:color w:val="404040" w:themeColor="text1" w:themeTint="BF"/>
      <w:lang w:val="fr-CA"/>
    </w:rPr>
  </w:style>
  <w:style w:type="paragraph" w:styleId="ListParagraph">
    <w:name w:val="List Paragraph"/>
    <w:basedOn w:val="Normal"/>
    <w:uiPriority w:val="34"/>
    <w:qFormat/>
    <w:rsid w:val="00D57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FCB"/>
    <w:rPr>
      <w:i/>
      <w:iCs/>
      <w:color w:val="0F4761" w:themeColor="accent1" w:themeShade="BF"/>
      <w:lang w:val="fr-CA"/>
    </w:rPr>
  </w:style>
  <w:style w:type="character" w:styleId="IntenseReference">
    <w:name w:val="Intense Reference"/>
    <w:basedOn w:val="DefaultParagraphFont"/>
    <w:uiPriority w:val="32"/>
    <w:qFormat/>
    <w:rsid w:val="00D57F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B70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74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B70"/>
    <w:rPr>
      <w:lang w:val="fr-CA"/>
    </w:rPr>
  </w:style>
  <w:style w:type="character" w:styleId="Hyperlink">
    <w:name w:val="Hyperlink"/>
    <w:basedOn w:val="DefaultParagraphFont"/>
    <w:uiPriority w:val="99"/>
    <w:semiHidden/>
    <w:unhideWhenUsed/>
    <w:rsid w:val="00220CA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7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7E1"/>
    <w:rPr>
      <w:sz w:val="20"/>
      <w:szCs w:val="20"/>
      <w:lang w:val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FC47E1"/>
    <w:rPr>
      <w:vertAlign w:val="superscript"/>
    </w:rPr>
  </w:style>
  <w:style w:type="paragraph" w:styleId="Revision">
    <w:name w:val="Revision"/>
    <w:hidden/>
    <w:uiPriority w:val="99"/>
    <w:semiHidden/>
    <w:rsid w:val="00E767D5"/>
    <w:pPr>
      <w:spacing w:after="0" w:line="240" w:lineRule="auto"/>
    </w:pPr>
    <w:rPr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C51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A2E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A2E"/>
    <w:rPr>
      <w:b/>
      <w:bCs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F651-30DF-4E2E-97A7-EEDBB6C9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Hall</dc:creator>
  <cp:keywords/>
  <dc:description/>
  <cp:lastModifiedBy>Jenny Mindell</cp:lastModifiedBy>
  <cp:revision>2</cp:revision>
  <dcterms:created xsi:type="dcterms:W3CDTF">2026-02-03T17:30:00Z</dcterms:created>
  <dcterms:modified xsi:type="dcterms:W3CDTF">2026-02-03T17:30:00Z</dcterms:modified>
</cp:coreProperties>
</file>