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57CA" w14:textId="40D164C6" w:rsidR="00816D03" w:rsidRPr="005D780F" w:rsidRDefault="00455497" w:rsidP="00455497">
      <w:pPr>
        <w:pStyle w:val="Title"/>
        <w:rPr>
          <w:rFonts w:asciiTheme="minorBidi" w:hAnsiTheme="minorBidi" w:cstheme="minorBidi"/>
        </w:rPr>
      </w:pPr>
      <w:r w:rsidRPr="005D780F">
        <w:rPr>
          <w:rFonts w:asciiTheme="minorBidi" w:hAnsiTheme="minorBidi" w:cstheme="minorBidi"/>
        </w:rPr>
        <w:t xml:space="preserve">THSG Policy on </w:t>
      </w:r>
      <w:r w:rsidR="000A60CB" w:rsidRPr="005D780F">
        <w:rPr>
          <w:rFonts w:asciiTheme="minorBidi" w:hAnsiTheme="minorBidi" w:cstheme="minorBidi"/>
        </w:rPr>
        <w:t>Privacy and Data Protection</w:t>
      </w:r>
      <w:r w:rsidR="0048215E" w:rsidRPr="005D780F">
        <w:rPr>
          <w:rFonts w:asciiTheme="minorBidi" w:hAnsiTheme="minorBidi" w:cstheme="minorBidi"/>
        </w:rPr>
        <w:t>, including cybersecurity</w:t>
      </w:r>
    </w:p>
    <w:p w14:paraId="0B4953C7" w14:textId="08EC7F5C" w:rsidR="001E35B8" w:rsidRPr="005D780F" w:rsidRDefault="001E35B8" w:rsidP="001E35B8">
      <w:pPr>
        <w:pStyle w:val="Heading2"/>
        <w:rPr>
          <w:rFonts w:asciiTheme="minorBidi" w:eastAsiaTheme="minorHAnsi" w:hAnsiTheme="minorBidi" w:cstheme="minorBidi"/>
          <w:b/>
          <w:bCs/>
          <w:color w:val="auto"/>
          <w:sz w:val="24"/>
          <w:szCs w:val="24"/>
        </w:rPr>
      </w:pPr>
      <w:r w:rsidRPr="005D780F">
        <w:rPr>
          <w:rFonts w:asciiTheme="minorBidi" w:eastAsiaTheme="minorHAnsi" w:hAnsiTheme="minorBidi" w:cstheme="minorBidi"/>
          <w:b/>
          <w:bCs/>
          <w:color w:val="auto"/>
          <w:sz w:val="24"/>
          <w:szCs w:val="24"/>
        </w:rPr>
        <w:t xml:space="preserve">Under bye law 105, this policy has the effect of formal standing orders. </w:t>
      </w:r>
    </w:p>
    <w:p w14:paraId="0334E1F8" w14:textId="7CB6C8FC" w:rsidR="00455497" w:rsidRPr="005D780F" w:rsidRDefault="000A60CB" w:rsidP="001E35B8">
      <w:pPr>
        <w:pStyle w:val="Heading2"/>
        <w:rPr>
          <w:rFonts w:asciiTheme="minorBidi" w:hAnsiTheme="minorBidi" w:cstheme="minorBidi"/>
        </w:rPr>
      </w:pPr>
      <w:r w:rsidRPr="005D780F">
        <w:rPr>
          <w:rFonts w:asciiTheme="minorBidi" w:hAnsiTheme="minorBidi" w:cstheme="minorBidi"/>
        </w:rPr>
        <w:t>Privacy and Data Protection</w:t>
      </w:r>
    </w:p>
    <w:p w14:paraId="1ECD8E49" w14:textId="152F94F5"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THSG maintains a record of the contact details of its members, intellectual licensees, and advisers, and of the members of the organisations which it administers, namely the Transport Special Interest Group of the Faculty of Public Health (T-SIG_FPH) and the Partnership for Active Travel, Transport and Health (PATTH)</w:t>
      </w:r>
      <w:r w:rsidR="00091654" w:rsidRPr="005D780F">
        <w:rPr>
          <w:rFonts w:asciiTheme="minorBidi" w:eastAsia="Times New Roman" w:hAnsiTheme="minorBidi"/>
          <w:iCs/>
          <w:color w:val="000000"/>
          <w:lang w:eastAsia="en-GB"/>
        </w:rPr>
        <w:t>.</w:t>
      </w:r>
      <w:r w:rsidRPr="005D780F">
        <w:rPr>
          <w:rFonts w:asciiTheme="minorBidi" w:eastAsia="Times New Roman" w:hAnsiTheme="minorBidi"/>
          <w:iCs/>
          <w:color w:val="000000"/>
          <w:lang w:eastAsia="en-GB"/>
        </w:rPr>
        <w:t xml:space="preserve"> It uses this data for its own internal administration and also to circulate information about the body of knowledge on transport and health and about activities which members may engage in to further the cause of a healthy transport system. </w:t>
      </w:r>
    </w:p>
    <w:p w14:paraId="4ED839EC" w14:textId="77777777" w:rsidR="000A60CB" w:rsidRPr="005D780F" w:rsidRDefault="000A60CB" w:rsidP="000A60CB">
      <w:pPr>
        <w:spacing w:after="0"/>
        <w:rPr>
          <w:rFonts w:asciiTheme="minorBidi" w:eastAsia="Times New Roman" w:hAnsiTheme="minorBidi"/>
          <w:iCs/>
          <w:color w:val="000000"/>
          <w:lang w:eastAsia="en-GB"/>
        </w:rPr>
      </w:pPr>
    </w:p>
    <w:p w14:paraId="5832F471" w14:textId="77777777" w:rsidR="000A60CB" w:rsidRPr="005D780F" w:rsidRDefault="000A60CB" w:rsidP="000A60CB">
      <w:pPr>
        <w:pStyle w:val="ListParagraph"/>
        <w:numPr>
          <w:ilvl w:val="0"/>
          <w:numId w:val="7"/>
        </w:numPr>
        <w:spacing w:after="0"/>
        <w:ind w:left="357" w:hanging="357"/>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THSG also maintains information about the particular aspects of transport and health which data subjects have expressed an interest in. It uses this for the constitution of working groups and the supply of information to those especially interested in it.</w:t>
      </w:r>
    </w:p>
    <w:p w14:paraId="35D8677F" w14:textId="77777777" w:rsidR="000A60CB" w:rsidRPr="005D780F" w:rsidRDefault="000A60CB" w:rsidP="000A60CB">
      <w:pPr>
        <w:spacing w:after="0" w:line="240" w:lineRule="auto"/>
        <w:rPr>
          <w:rFonts w:asciiTheme="minorBidi" w:eastAsia="Times New Roman" w:hAnsiTheme="minorBidi"/>
          <w:iCs/>
          <w:color w:val="000000"/>
          <w:szCs w:val="24"/>
          <w:lang w:eastAsia="en-GB"/>
        </w:rPr>
      </w:pPr>
    </w:p>
    <w:p w14:paraId="4A0741D0" w14:textId="77777777"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THSG also maintains information about the status of members in relation to the payment of their subscriptions. It uses this for its internal financial purposes.</w:t>
      </w:r>
    </w:p>
    <w:p w14:paraId="137497C4" w14:textId="77777777" w:rsidR="000A60CB" w:rsidRPr="005D780F" w:rsidRDefault="000A60CB" w:rsidP="000A60CB">
      <w:pPr>
        <w:spacing w:after="0" w:line="240" w:lineRule="auto"/>
        <w:rPr>
          <w:rFonts w:asciiTheme="minorBidi" w:eastAsia="Times New Roman" w:hAnsiTheme="minorBidi"/>
          <w:iCs/>
          <w:color w:val="000000"/>
          <w:szCs w:val="24"/>
          <w:lang w:eastAsia="en-GB"/>
        </w:rPr>
      </w:pPr>
    </w:p>
    <w:p w14:paraId="7AEEED73" w14:textId="77777777"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 xml:space="preserve">All personal and sensitive data (as defined by the General Data Protection Regulations, GDPR, </w:t>
      </w:r>
      <w:hyperlink r:id="rId5" w:history="1">
        <w:r w:rsidRPr="005D780F">
          <w:rPr>
            <w:rStyle w:val="Hyperlink"/>
            <w:rFonts w:asciiTheme="minorBidi" w:eastAsia="Times New Roman" w:hAnsiTheme="minorBidi"/>
            <w:iCs/>
            <w:lang w:eastAsia="en-GB"/>
          </w:rPr>
          <w:t>https://www.gov.uk/data-protection</w:t>
        </w:r>
      </w:hyperlink>
      <w:r w:rsidRPr="005D780F">
        <w:rPr>
          <w:rFonts w:asciiTheme="minorBidi" w:eastAsia="Times New Roman" w:hAnsiTheme="minorBidi"/>
          <w:iCs/>
          <w:color w:val="000000"/>
          <w:lang w:eastAsia="en-GB"/>
        </w:rPr>
        <w:t>) held by THSG must be stored securely in password-protected encrypted files, on password-protected devices.</w:t>
      </w:r>
    </w:p>
    <w:p w14:paraId="3B185E45" w14:textId="77777777" w:rsidR="000A60CB" w:rsidRPr="005D780F" w:rsidRDefault="000A60CB" w:rsidP="000A60CB">
      <w:pPr>
        <w:pStyle w:val="ListParagraph"/>
        <w:numPr>
          <w:ilvl w:val="0"/>
          <w:numId w:val="0"/>
        </w:numPr>
        <w:spacing w:after="0"/>
        <w:ind w:left="360"/>
        <w:rPr>
          <w:rFonts w:asciiTheme="minorBidi" w:eastAsia="Times New Roman" w:hAnsiTheme="minorBidi"/>
          <w:iCs/>
          <w:color w:val="000000"/>
          <w:lang w:eastAsia="en-GB"/>
        </w:rPr>
      </w:pPr>
    </w:p>
    <w:p w14:paraId="30E562E5" w14:textId="77777777"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The legal basis for all this processing is "legitimate requirements".</w:t>
      </w:r>
    </w:p>
    <w:p w14:paraId="6B0FBF42" w14:textId="77777777" w:rsidR="000A60CB" w:rsidRPr="005D780F" w:rsidRDefault="000A60CB" w:rsidP="000A60CB">
      <w:pPr>
        <w:spacing w:after="0" w:line="240" w:lineRule="auto"/>
        <w:rPr>
          <w:rFonts w:asciiTheme="minorBidi" w:eastAsia="Times New Roman" w:hAnsiTheme="minorBidi"/>
          <w:iCs/>
          <w:color w:val="000000"/>
          <w:szCs w:val="24"/>
          <w:lang w:eastAsia="en-GB"/>
        </w:rPr>
      </w:pPr>
    </w:p>
    <w:p w14:paraId="56293F89" w14:textId="2E08BCF4" w:rsidR="000A60CB" w:rsidRPr="005D780F" w:rsidRDefault="00091654" w:rsidP="00091654">
      <w:pPr>
        <w:pStyle w:val="ListParagraph"/>
        <w:numPr>
          <w:ilvl w:val="0"/>
          <w:numId w:val="7"/>
        </w:numPr>
        <w:spacing w:after="0"/>
        <w:ind w:left="360"/>
        <w:rPr>
          <w:rFonts w:asciiTheme="minorBidi" w:eastAsia="Times New Roman" w:hAnsiTheme="minorBidi"/>
          <w:iCs/>
          <w:color w:val="000000"/>
          <w:lang w:eastAsia="en-GB"/>
        </w:rPr>
      </w:pPr>
      <w:bookmarkStart w:id="0" w:name="_Hlk182840228"/>
      <w:r w:rsidRPr="005D780F">
        <w:rPr>
          <w:rFonts w:asciiTheme="minorBidi" w:eastAsia="Times New Roman" w:hAnsiTheme="minorBidi"/>
          <w:iCs/>
          <w:color w:val="000000"/>
          <w:lang w:eastAsia="en-GB"/>
        </w:rPr>
        <w:t>We will not keep data indefinitely but only so long as it meets an agreed purpose. For example, w</w:t>
      </w:r>
      <w:r w:rsidR="000A60CB" w:rsidRPr="005D780F">
        <w:rPr>
          <w:rFonts w:asciiTheme="minorBidi" w:eastAsia="Times New Roman" w:hAnsiTheme="minorBidi"/>
          <w:iCs/>
          <w:color w:val="000000"/>
          <w:lang w:eastAsia="en-GB"/>
        </w:rPr>
        <w:t>e will delete information when you cease to be in the categories of people for whom we hold information and either you ask us to delete it or you have been outside those categories for at least three years at our last data deletion review. We will conduct a data deletion review annually.</w:t>
      </w:r>
    </w:p>
    <w:bookmarkEnd w:id="0"/>
    <w:p w14:paraId="07774EA7" w14:textId="77777777" w:rsidR="000A60CB" w:rsidRPr="005D780F" w:rsidRDefault="000A60CB" w:rsidP="000A60CB">
      <w:pPr>
        <w:spacing w:after="0" w:line="240" w:lineRule="auto"/>
        <w:rPr>
          <w:rFonts w:asciiTheme="minorBidi" w:eastAsia="Times New Roman" w:hAnsiTheme="minorBidi"/>
          <w:iCs/>
          <w:color w:val="000000"/>
          <w:szCs w:val="24"/>
          <w:lang w:eastAsia="en-GB"/>
        </w:rPr>
      </w:pPr>
    </w:p>
    <w:p w14:paraId="07111505" w14:textId="239D8417"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THSG will not supply the identity of its members without their consent to any other organisation, other than those which it administers and its related organisations and the Journal of Transport and Health (JTH). It supplies it to related organisations only for the purposes of joint activities.</w:t>
      </w:r>
    </w:p>
    <w:p w14:paraId="356004B5" w14:textId="77777777" w:rsidR="000A60CB" w:rsidRPr="005D780F" w:rsidRDefault="000A60CB" w:rsidP="000A60CB">
      <w:pPr>
        <w:spacing w:after="0" w:line="240" w:lineRule="auto"/>
        <w:rPr>
          <w:rFonts w:asciiTheme="minorBidi" w:eastAsia="Times New Roman" w:hAnsiTheme="minorBidi"/>
          <w:iCs/>
          <w:color w:val="000000"/>
          <w:szCs w:val="24"/>
          <w:lang w:eastAsia="en-GB"/>
        </w:rPr>
      </w:pPr>
    </w:p>
    <w:p w14:paraId="3FA16DD1" w14:textId="77777777"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 xml:space="preserve">THSG does not engage in activity which is intended to constitute marketing and if it changes this policy it will inform data subjects and seek consent. However some of its activities may technically amount to marketing and to that end data subjects have </w:t>
      </w:r>
      <w:r w:rsidRPr="005D780F">
        <w:rPr>
          <w:rFonts w:asciiTheme="minorBidi" w:eastAsia="Times New Roman" w:hAnsiTheme="minorBidi"/>
          <w:iCs/>
          <w:color w:val="000000"/>
          <w:lang w:eastAsia="en-GB"/>
        </w:rPr>
        <w:lastRenderedPageBreak/>
        <w:t>the right to opt out of the following categories of information but this may lead to them not being informed of certain activities or information</w:t>
      </w:r>
    </w:p>
    <w:p w14:paraId="2EFED181"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 xml:space="preserve">information from organisations other than THSG and its partner organisations (currently FPH, JTH and PATTH) </w:t>
      </w:r>
    </w:p>
    <w:p w14:paraId="00B80EE5"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information from TSIGFPH</w:t>
      </w:r>
    </w:p>
    <w:p w14:paraId="3020102E"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 xml:space="preserve">information from JTH </w:t>
      </w:r>
    </w:p>
    <w:p w14:paraId="591975E6"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information from PATTH</w:t>
      </w:r>
    </w:p>
    <w:p w14:paraId="40CCDEF2"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 xml:space="preserve">information about events for which a charge is made </w:t>
      </w:r>
    </w:p>
    <w:p w14:paraId="0E91B8BE" w14:textId="77777777" w:rsidR="000A60CB" w:rsidRPr="005D780F" w:rsidRDefault="000A60CB" w:rsidP="000A60CB">
      <w:pPr>
        <w:spacing w:after="0" w:line="240" w:lineRule="auto"/>
        <w:rPr>
          <w:rFonts w:asciiTheme="minorBidi" w:eastAsia="Times New Roman" w:hAnsiTheme="minorBidi"/>
          <w:iCs/>
          <w:color w:val="000000"/>
          <w:szCs w:val="24"/>
          <w:lang w:eastAsia="en-GB"/>
        </w:rPr>
      </w:pPr>
    </w:p>
    <w:p w14:paraId="076907CD" w14:textId="77777777"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Members may also object to their details being shared with the following organisations but this may lead to them not being informed of joint activities or not being offered membership discounts</w:t>
      </w:r>
    </w:p>
    <w:p w14:paraId="635CEE7B"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T-SIG_FPH</w:t>
      </w:r>
    </w:p>
    <w:p w14:paraId="7F35C88F"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JTH</w:t>
      </w:r>
    </w:p>
    <w:p w14:paraId="4D5C1B05" w14:textId="77777777" w:rsidR="000A60CB" w:rsidRPr="005D780F" w:rsidRDefault="000A60CB" w:rsidP="000A60CB">
      <w:pPr>
        <w:pStyle w:val="ListParagraph"/>
        <w:numPr>
          <w:ilvl w:val="1"/>
          <w:numId w:val="7"/>
        </w:numPr>
        <w:spacing w:after="0"/>
        <w:ind w:left="108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PATTH</w:t>
      </w:r>
    </w:p>
    <w:p w14:paraId="61857F6F" w14:textId="77777777" w:rsidR="000A60CB" w:rsidRPr="005D780F" w:rsidRDefault="000A60CB" w:rsidP="000A60CB">
      <w:pPr>
        <w:spacing w:after="0" w:line="240" w:lineRule="auto"/>
        <w:rPr>
          <w:rFonts w:asciiTheme="minorBidi" w:eastAsia="Times New Roman" w:hAnsiTheme="minorBidi"/>
          <w:iCs/>
          <w:color w:val="000000"/>
          <w:szCs w:val="24"/>
          <w:lang w:eastAsia="en-GB"/>
        </w:rPr>
      </w:pPr>
    </w:p>
    <w:p w14:paraId="59769F63" w14:textId="77777777" w:rsidR="000A60CB" w:rsidRPr="005D780F" w:rsidRDefault="000A60CB" w:rsidP="000A60CB">
      <w:pPr>
        <w:pStyle w:val="ListParagraph"/>
        <w:numPr>
          <w:ilvl w:val="0"/>
          <w:numId w:val="7"/>
        </w:numPr>
        <w:spacing w:after="0"/>
        <w:ind w:left="360"/>
        <w:rPr>
          <w:rFonts w:asciiTheme="minorBidi" w:eastAsia="Times New Roman" w:hAnsiTheme="minorBidi"/>
          <w:iCs/>
          <w:color w:val="000000"/>
          <w:lang w:eastAsia="en-GB"/>
        </w:rPr>
      </w:pPr>
      <w:r w:rsidRPr="005D780F">
        <w:rPr>
          <w:rFonts w:asciiTheme="minorBidi" w:eastAsia="Times New Roman" w:hAnsiTheme="minorBidi"/>
          <w:iCs/>
          <w:color w:val="000000"/>
          <w:lang w:eastAsia="en-GB"/>
        </w:rPr>
        <w:t>The UK has been identified as our lead regulatory authority for the purposes of the General Data Protection Regulations.</w:t>
      </w:r>
    </w:p>
    <w:p w14:paraId="6028F127" w14:textId="49E435BD" w:rsidR="0048215E" w:rsidRPr="005D780F" w:rsidRDefault="0048215E" w:rsidP="000A60CB">
      <w:pPr>
        <w:pStyle w:val="Heading2"/>
        <w:rPr>
          <w:rFonts w:asciiTheme="minorBidi" w:hAnsiTheme="minorBidi" w:cstheme="minorBidi"/>
        </w:rPr>
      </w:pPr>
      <w:r w:rsidRPr="005D780F">
        <w:rPr>
          <w:rFonts w:asciiTheme="minorBidi" w:hAnsiTheme="minorBidi" w:cstheme="minorBidi"/>
        </w:rPr>
        <w:t>Cybersecurity</w:t>
      </w:r>
    </w:p>
    <w:p w14:paraId="413ACE3A" w14:textId="77777777" w:rsidR="005D780F" w:rsidRPr="009B483E" w:rsidRDefault="005D780F" w:rsidP="009B483E">
      <w:pPr>
        <w:pStyle w:val="ListParagraph"/>
        <w:numPr>
          <w:ilvl w:val="0"/>
          <w:numId w:val="8"/>
        </w:numPr>
        <w:spacing w:after="60"/>
        <w:rPr>
          <w:rFonts w:asciiTheme="minorBidi" w:hAnsiTheme="minorBidi"/>
        </w:rPr>
      </w:pPr>
      <w:r w:rsidRPr="009B483E">
        <w:rPr>
          <w:rFonts w:asciiTheme="minorBidi" w:hAnsiTheme="minorBidi"/>
        </w:rPr>
        <w:t>Charities are vulnerable to cyber attacks that can deprive them of their data and funds and potentially cause reputational damage. Cyber threats range from malicious software (malware) to phishing emails and fake websites that seek to mimic legitimate ones.</w:t>
      </w:r>
    </w:p>
    <w:p w14:paraId="08066B54" w14:textId="23332E32" w:rsidR="005D780F" w:rsidRPr="009B483E" w:rsidRDefault="005D780F" w:rsidP="005D780F">
      <w:pPr>
        <w:pStyle w:val="ListParagraph"/>
        <w:numPr>
          <w:ilvl w:val="0"/>
          <w:numId w:val="8"/>
        </w:numPr>
        <w:spacing w:after="60"/>
        <w:rPr>
          <w:rFonts w:asciiTheme="minorBidi" w:hAnsiTheme="minorBidi"/>
        </w:rPr>
      </w:pPr>
      <w:r w:rsidRPr="009B483E">
        <w:rPr>
          <w:rFonts w:asciiTheme="minorBidi" w:hAnsiTheme="minorBidi"/>
        </w:rPr>
        <w:t xml:space="preserve">Cyber security’s core function is to protect the devices used (smartphones, laptops, tablets and computers), and the services accessed at home and at work from theft or damage. It is also about preventing unauthorised access to the personal information stored on these devices, and online. THSG trustees, staff, and volunteers are required to follow good practice to minimise cybercrime, by taking these five steps: </w:t>
      </w:r>
    </w:p>
    <w:p w14:paraId="79502A56" w14:textId="77777777" w:rsidR="005D780F" w:rsidRPr="009B483E" w:rsidRDefault="005D780F" w:rsidP="005D780F">
      <w:pPr>
        <w:numPr>
          <w:ilvl w:val="1"/>
          <w:numId w:val="8"/>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9B483E">
        <w:rPr>
          <w:rFonts w:asciiTheme="minorBidi" w:eastAsia="Times New Roman" w:hAnsiTheme="minorBidi"/>
          <w:b/>
          <w:bCs/>
          <w:kern w:val="0"/>
          <w:sz w:val="24"/>
          <w:szCs w:val="24"/>
          <w:lang w:eastAsia="en-GB"/>
          <w14:ligatures w14:val="none"/>
        </w:rPr>
        <w:t>Use passwords</w:t>
      </w:r>
      <w:r w:rsidRPr="009B483E">
        <w:rPr>
          <w:rFonts w:asciiTheme="minorBidi" w:eastAsia="Times New Roman" w:hAnsiTheme="minorBidi"/>
          <w:kern w:val="0"/>
          <w:sz w:val="24"/>
          <w:szCs w:val="24"/>
          <w:lang w:eastAsia="en-GB"/>
          <w14:ligatures w14:val="none"/>
        </w:rPr>
        <w:t>: Switch on password protection on all devices. Consider using multifactor authentication to access devices and ensure any manufacturer’s default passwords are changed. Avoid predictable passwords; consider using password managers to avoid password overload.</w:t>
      </w:r>
    </w:p>
    <w:p w14:paraId="1375279F" w14:textId="77777777" w:rsidR="005D780F" w:rsidRPr="009B483E" w:rsidRDefault="005D780F" w:rsidP="005D780F">
      <w:pPr>
        <w:numPr>
          <w:ilvl w:val="1"/>
          <w:numId w:val="8"/>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9B483E">
        <w:rPr>
          <w:rFonts w:asciiTheme="minorBidi" w:eastAsia="Times New Roman" w:hAnsiTheme="minorBidi"/>
          <w:b/>
          <w:bCs/>
          <w:kern w:val="0"/>
          <w:sz w:val="24"/>
          <w:szCs w:val="24"/>
          <w:lang w:eastAsia="en-GB"/>
          <w14:ligatures w14:val="none"/>
        </w:rPr>
        <w:t>Back up data</w:t>
      </w:r>
      <w:r w:rsidRPr="009B483E">
        <w:rPr>
          <w:rFonts w:asciiTheme="minorBidi" w:eastAsia="Times New Roman" w:hAnsiTheme="minorBidi"/>
          <w:kern w:val="0"/>
          <w:sz w:val="24"/>
          <w:szCs w:val="24"/>
          <w:lang w:eastAsia="en-GB"/>
          <w14:ligatures w14:val="none"/>
        </w:rPr>
        <w:t>: Identify essential data and keep a backup copy of this separate from your computer. This could be on a USB stick, separate drive or on some form of cloud-based storage platform.</w:t>
      </w:r>
    </w:p>
    <w:p w14:paraId="107DB457" w14:textId="77777777" w:rsidR="005D780F" w:rsidRPr="009B483E" w:rsidRDefault="005D780F" w:rsidP="005D780F">
      <w:pPr>
        <w:numPr>
          <w:ilvl w:val="1"/>
          <w:numId w:val="8"/>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9B483E">
        <w:rPr>
          <w:rFonts w:asciiTheme="minorBidi" w:eastAsia="Times New Roman" w:hAnsiTheme="minorBidi"/>
          <w:b/>
          <w:bCs/>
          <w:kern w:val="0"/>
          <w:sz w:val="24"/>
          <w:szCs w:val="24"/>
          <w:lang w:eastAsia="en-GB"/>
          <w14:ligatures w14:val="none"/>
        </w:rPr>
        <w:t>Protect your devices from malware</w:t>
      </w:r>
      <w:r w:rsidRPr="009B483E">
        <w:rPr>
          <w:rFonts w:asciiTheme="minorBidi" w:eastAsia="Times New Roman" w:hAnsiTheme="minorBidi"/>
          <w:kern w:val="0"/>
          <w:sz w:val="24"/>
          <w:szCs w:val="24"/>
          <w:lang w:eastAsia="en-GB"/>
          <w14:ligatures w14:val="none"/>
        </w:rPr>
        <w:t>: Install and turn on antivirus software. Prevent staff from downloading apps from unknown vendors or sources, and keep all of your IT equipment and software up to date by applying security patches as soon as they are available. Switch on your firewall and control how people can use external storage devices.</w:t>
      </w:r>
    </w:p>
    <w:p w14:paraId="417C1C36" w14:textId="77777777" w:rsidR="005D780F" w:rsidRPr="009B483E" w:rsidRDefault="005D780F" w:rsidP="005D780F">
      <w:pPr>
        <w:numPr>
          <w:ilvl w:val="1"/>
          <w:numId w:val="8"/>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9B483E">
        <w:rPr>
          <w:rFonts w:asciiTheme="minorBidi" w:eastAsia="Times New Roman" w:hAnsiTheme="minorBidi"/>
          <w:b/>
          <w:bCs/>
          <w:kern w:val="0"/>
          <w:sz w:val="24"/>
          <w:szCs w:val="24"/>
          <w:lang w:eastAsia="en-GB"/>
          <w14:ligatures w14:val="none"/>
        </w:rPr>
        <w:t>Protect your devices</w:t>
      </w:r>
      <w:r w:rsidRPr="009B483E">
        <w:rPr>
          <w:rFonts w:asciiTheme="minorBidi" w:eastAsia="Times New Roman" w:hAnsiTheme="minorBidi"/>
          <w:kern w:val="0"/>
          <w:sz w:val="24"/>
          <w:szCs w:val="24"/>
          <w:lang w:eastAsia="en-GB"/>
          <w14:ligatures w14:val="none"/>
        </w:rPr>
        <w:t>: Ensure your devices can be tracked, locked and remotely wiped if they are ever lost or stolen. Keep your device operating system and your apps up to date and do not connect to unknown wi-fi hotspots – use 3G or 4G mobile networks instead.</w:t>
      </w:r>
    </w:p>
    <w:p w14:paraId="39725D87" w14:textId="77777777" w:rsidR="009B483E" w:rsidRPr="009B483E" w:rsidRDefault="005D780F" w:rsidP="009B483E">
      <w:pPr>
        <w:numPr>
          <w:ilvl w:val="1"/>
          <w:numId w:val="8"/>
        </w:numPr>
        <w:spacing w:before="100" w:beforeAutospacing="1" w:after="60" w:afterAutospacing="1" w:line="240" w:lineRule="auto"/>
        <w:rPr>
          <w:rFonts w:asciiTheme="minorBidi" w:hAnsiTheme="minorBidi"/>
          <w:sz w:val="24"/>
          <w:szCs w:val="24"/>
        </w:rPr>
      </w:pPr>
      <w:r w:rsidRPr="009B483E">
        <w:rPr>
          <w:rFonts w:asciiTheme="minorBidi" w:eastAsia="Times New Roman" w:hAnsiTheme="minorBidi"/>
          <w:b/>
          <w:bCs/>
          <w:kern w:val="0"/>
          <w:sz w:val="24"/>
          <w:szCs w:val="24"/>
          <w:lang w:eastAsia="en-GB"/>
          <w14:ligatures w14:val="none"/>
        </w:rPr>
        <w:lastRenderedPageBreak/>
        <w:t>Avoid phishing attacks</w:t>
      </w:r>
      <w:r w:rsidRPr="009B483E">
        <w:rPr>
          <w:rFonts w:asciiTheme="minorBidi" w:eastAsia="Times New Roman" w:hAnsiTheme="minorBidi"/>
          <w:kern w:val="0"/>
          <w:sz w:val="24"/>
          <w:szCs w:val="24"/>
          <w:lang w:eastAsia="en-GB"/>
          <w14:ligatures w14:val="none"/>
        </w:rPr>
        <w:t>: To reduce risk, minimise the number of people who have administrator access on your network. Train staff to spot phishing emails and tell them what to do if they have any concerns. Publicly accessible information will often be used to make phishing emails seem more plausible, so think carefully about what is posted online and review this information regularly.</w:t>
      </w:r>
    </w:p>
    <w:p w14:paraId="7C812477" w14:textId="593DF87B" w:rsidR="005D780F" w:rsidRPr="009B483E" w:rsidRDefault="005D780F" w:rsidP="009B483E">
      <w:pPr>
        <w:numPr>
          <w:ilvl w:val="0"/>
          <w:numId w:val="8"/>
        </w:numPr>
        <w:spacing w:before="100" w:beforeAutospacing="1" w:after="60" w:afterAutospacing="1" w:line="240" w:lineRule="auto"/>
        <w:rPr>
          <w:rFonts w:asciiTheme="minorBidi" w:hAnsiTheme="minorBidi"/>
          <w:sz w:val="24"/>
          <w:szCs w:val="24"/>
        </w:rPr>
      </w:pPr>
      <w:r w:rsidRPr="009B483E">
        <w:rPr>
          <w:rFonts w:asciiTheme="minorBidi" w:hAnsiTheme="minorBidi"/>
          <w:sz w:val="24"/>
          <w:szCs w:val="24"/>
        </w:rPr>
        <w:t xml:space="preserve">See </w:t>
      </w:r>
      <w:hyperlink r:id="rId6" w:history="1">
        <w:r w:rsidRPr="009B483E">
          <w:rPr>
            <w:rStyle w:val="Hyperlink"/>
            <w:rFonts w:asciiTheme="minorBidi" w:hAnsiTheme="minorBidi"/>
            <w:sz w:val="24"/>
            <w:szCs w:val="24"/>
          </w:rPr>
          <w:t>Preventing Charity Fraud_Cybersecurity</w:t>
        </w:r>
      </w:hyperlink>
      <w:r w:rsidRPr="009B483E">
        <w:rPr>
          <w:rFonts w:asciiTheme="minorBidi" w:hAnsiTheme="minorBidi"/>
          <w:sz w:val="24"/>
          <w:szCs w:val="24"/>
        </w:rPr>
        <w:t>.</w:t>
      </w:r>
    </w:p>
    <w:p w14:paraId="2197E5E8" w14:textId="77777777" w:rsidR="0048215E" w:rsidRPr="005D780F" w:rsidRDefault="0048215E" w:rsidP="0048215E">
      <w:pPr>
        <w:rPr>
          <w:rFonts w:asciiTheme="minorBidi" w:hAnsiTheme="minorBidi"/>
        </w:rPr>
      </w:pPr>
    </w:p>
    <w:p w14:paraId="36CD7F8B" w14:textId="3C13D6EC" w:rsidR="000A60CB" w:rsidRPr="005D780F" w:rsidRDefault="000A60CB" w:rsidP="000A60CB">
      <w:pPr>
        <w:pStyle w:val="Heading2"/>
        <w:rPr>
          <w:rFonts w:asciiTheme="minorBidi" w:hAnsiTheme="minorBidi" w:cstheme="minorBidi"/>
        </w:rPr>
      </w:pPr>
      <w:r w:rsidRPr="005D780F">
        <w:rPr>
          <w:rFonts w:asciiTheme="minorBidi" w:hAnsiTheme="minorBidi" w:cstheme="minorBidi"/>
        </w:rPr>
        <w:t>Complaints</w:t>
      </w:r>
    </w:p>
    <w:p w14:paraId="04A2C487" w14:textId="77777777" w:rsidR="00E342F5" w:rsidRPr="005D780F" w:rsidRDefault="000A60CB" w:rsidP="009B483E">
      <w:pPr>
        <w:pStyle w:val="ListParagraph"/>
        <w:numPr>
          <w:ilvl w:val="0"/>
          <w:numId w:val="9"/>
        </w:numPr>
        <w:rPr>
          <w:rFonts w:asciiTheme="minorBidi" w:hAnsiTheme="minorBidi"/>
        </w:rPr>
      </w:pPr>
      <w:bookmarkStart w:id="1" w:name="_Hlk181723426"/>
      <w:r w:rsidRPr="005D780F">
        <w:rPr>
          <w:rFonts w:asciiTheme="minorBidi" w:hAnsiTheme="minorBidi"/>
          <w:iCs/>
        </w:rPr>
        <w:t xml:space="preserve"> </w:t>
      </w:r>
      <w:r w:rsidR="00E342F5" w:rsidRPr="005D780F">
        <w:rPr>
          <w:rFonts w:asciiTheme="minorBidi" w:hAnsiTheme="minorBidi"/>
          <w:iCs/>
        </w:rPr>
        <w:t>All queries, objections, requests o</w:t>
      </w:r>
      <w:r w:rsidRPr="005D780F">
        <w:rPr>
          <w:rFonts w:asciiTheme="minorBidi" w:hAnsiTheme="minorBidi"/>
          <w:iCs/>
        </w:rPr>
        <w:t>r</w:t>
      </w:r>
      <w:r w:rsidR="00E342F5" w:rsidRPr="005D780F">
        <w:rPr>
          <w:rFonts w:asciiTheme="minorBidi" w:hAnsiTheme="minorBidi"/>
          <w:iCs/>
        </w:rPr>
        <w:t xml:space="preserve"> complaints should be addressed to the THSG Honorary Secretary </w:t>
      </w:r>
      <w:hyperlink r:id="rId7" w:history="1">
        <w:r w:rsidR="00E342F5" w:rsidRPr="005D780F">
          <w:rPr>
            <w:rStyle w:val="Hyperlink"/>
            <w:rFonts w:asciiTheme="minorBidi" w:hAnsiTheme="minorBidi"/>
            <w:iCs/>
          </w:rPr>
          <w:t>thsgsecretary@gmail.com</w:t>
        </w:r>
      </w:hyperlink>
      <w:r w:rsidRPr="005D780F">
        <w:rPr>
          <w:rStyle w:val="Hyperlink"/>
          <w:rFonts w:asciiTheme="minorBidi" w:hAnsiTheme="minorBidi"/>
          <w:iCs/>
        </w:rPr>
        <w:t>,</w:t>
      </w:r>
      <w:r w:rsidRPr="005D780F">
        <w:rPr>
          <w:rFonts w:asciiTheme="minorBidi" w:hAnsiTheme="minorBidi"/>
        </w:rPr>
        <w:t xml:space="preserve"> who will deal with the issue or forward it to the relevant THSG officer.  </w:t>
      </w:r>
    </w:p>
    <w:p w14:paraId="735A1807" w14:textId="620A0A97" w:rsidR="000A60CB" w:rsidRPr="005D780F" w:rsidRDefault="000F22E3" w:rsidP="009B483E">
      <w:pPr>
        <w:pStyle w:val="ListParagraph"/>
        <w:numPr>
          <w:ilvl w:val="0"/>
          <w:numId w:val="9"/>
        </w:numPr>
        <w:rPr>
          <w:rFonts w:asciiTheme="minorBidi" w:hAnsiTheme="minorBidi"/>
        </w:rPr>
      </w:pPr>
      <w:r w:rsidRPr="005D780F">
        <w:rPr>
          <w:rFonts w:asciiTheme="minorBidi" w:hAnsiTheme="minorBidi"/>
          <w:iCs/>
        </w:rPr>
        <w:t>In the case of a complaint, t</w:t>
      </w:r>
      <w:r w:rsidR="000A60CB" w:rsidRPr="005D780F">
        <w:rPr>
          <w:rFonts w:asciiTheme="minorBidi" w:hAnsiTheme="minorBidi"/>
          <w:iCs/>
        </w:rPr>
        <w:t xml:space="preserve">he THSG Honorary Secretary will inform both THSG co-chairs </w:t>
      </w:r>
      <w:r w:rsidRPr="005D780F">
        <w:rPr>
          <w:rFonts w:asciiTheme="minorBidi" w:hAnsiTheme="minorBidi"/>
          <w:iCs/>
        </w:rPr>
        <w:t xml:space="preserve">within 21 days </w:t>
      </w:r>
      <w:r w:rsidR="000A60CB" w:rsidRPr="005D780F">
        <w:rPr>
          <w:rFonts w:asciiTheme="minorBidi" w:hAnsiTheme="minorBidi"/>
          <w:iCs/>
        </w:rPr>
        <w:t xml:space="preserve"> The issue and the response will be reported to the Trustees at the next board meeting. </w:t>
      </w:r>
    </w:p>
    <w:p w14:paraId="6258AC18" w14:textId="77777777" w:rsidR="00E342F5" w:rsidRPr="005D780F" w:rsidRDefault="00E342F5" w:rsidP="009B483E">
      <w:pPr>
        <w:pStyle w:val="ListParagraph"/>
        <w:numPr>
          <w:ilvl w:val="0"/>
          <w:numId w:val="9"/>
        </w:numPr>
        <w:spacing w:after="0"/>
        <w:rPr>
          <w:rFonts w:asciiTheme="minorBidi" w:hAnsiTheme="minorBidi"/>
          <w:iCs/>
        </w:rPr>
      </w:pPr>
      <w:r w:rsidRPr="005D780F">
        <w:rPr>
          <w:rFonts w:asciiTheme="minorBidi" w:eastAsia="Times New Roman" w:hAnsiTheme="minorBidi"/>
          <w:iCs/>
          <w:color w:val="000000"/>
          <w:lang w:eastAsia="en-GB"/>
        </w:rPr>
        <w:t xml:space="preserve">You have a right to access the data we hold about you and to correct it. If we do not deal with objections, requests or complaints adequately you may have a right to complain to the Information Commissioner in the United Kingdom. </w:t>
      </w:r>
      <w:bookmarkEnd w:id="1"/>
    </w:p>
    <w:sectPr w:rsidR="00E342F5" w:rsidRPr="005D780F" w:rsidSect="00EC6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677"/>
    <w:multiLevelType w:val="multilevel"/>
    <w:tmpl w:val="121E7B32"/>
    <w:lvl w:ilvl="0">
      <w:start w:val="11"/>
      <w:numFmt w:val="decimal"/>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78E5B7E"/>
    <w:multiLevelType w:val="hybridMultilevel"/>
    <w:tmpl w:val="7FC88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E2138"/>
    <w:multiLevelType w:val="hybridMultilevel"/>
    <w:tmpl w:val="3BA0E6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6D6DEF"/>
    <w:multiLevelType w:val="hybridMultilevel"/>
    <w:tmpl w:val="C19E5AEA"/>
    <w:lvl w:ilvl="0" w:tplc="AA02A7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C790A2C"/>
    <w:multiLevelType w:val="hybridMultilevel"/>
    <w:tmpl w:val="DCE6E3DC"/>
    <w:lvl w:ilvl="0" w:tplc="C43E1032">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E397F79"/>
    <w:multiLevelType w:val="hybridMultilevel"/>
    <w:tmpl w:val="BB9E4D08"/>
    <w:lvl w:ilvl="0" w:tplc="0809000F">
      <w:start w:val="1"/>
      <w:numFmt w:val="decimal"/>
      <w:lvlText w:val="%1."/>
      <w:lvlJc w:val="left"/>
      <w:pPr>
        <w:ind w:left="720" w:hanging="360"/>
      </w:pPr>
    </w:lvl>
    <w:lvl w:ilvl="1" w:tplc="39B891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AB0373"/>
    <w:multiLevelType w:val="hybridMultilevel"/>
    <w:tmpl w:val="B8F28D18"/>
    <w:lvl w:ilvl="0" w:tplc="44804F32">
      <w:start w:val="1"/>
      <w:numFmt w:val="lowerLetter"/>
      <w:lvlText w:val="(%1)"/>
      <w:lvlJc w:val="left"/>
      <w:pPr>
        <w:ind w:left="1155" w:hanging="360"/>
      </w:p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7" w15:restartNumberingAfterBreak="0">
    <w:nsid w:val="7CF21947"/>
    <w:multiLevelType w:val="hybridMultilevel"/>
    <w:tmpl w:val="8ED06846"/>
    <w:lvl w:ilvl="0" w:tplc="A79CAB3C">
      <w:start w:val="1"/>
      <w:numFmt w:val="decimal"/>
      <w:pStyle w:val="ListParagraph"/>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7369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621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142915">
    <w:abstractNumId w:val="3"/>
  </w:num>
  <w:num w:numId="4" w16cid:durableId="98182551">
    <w:abstractNumId w:val="7"/>
  </w:num>
  <w:num w:numId="5" w16cid:durableId="2006780441">
    <w:abstractNumId w:val="1"/>
  </w:num>
  <w:num w:numId="6" w16cid:durableId="1903633524">
    <w:abstractNumId w:val="5"/>
  </w:num>
  <w:num w:numId="7" w16cid:durableId="1203055056">
    <w:abstractNumId w:val="2"/>
  </w:num>
  <w:num w:numId="8" w16cid:durableId="241379171">
    <w:abstractNumId w:val="0"/>
  </w:num>
  <w:num w:numId="9" w16cid:durableId="1393382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97"/>
    <w:rsid w:val="00091654"/>
    <w:rsid w:val="000A60CB"/>
    <w:rsid w:val="000F22E3"/>
    <w:rsid w:val="00165775"/>
    <w:rsid w:val="001E35B8"/>
    <w:rsid w:val="001E43D0"/>
    <w:rsid w:val="00223259"/>
    <w:rsid w:val="004051BC"/>
    <w:rsid w:val="00424482"/>
    <w:rsid w:val="00455497"/>
    <w:rsid w:val="0047189E"/>
    <w:rsid w:val="0048215E"/>
    <w:rsid w:val="00491973"/>
    <w:rsid w:val="0053535B"/>
    <w:rsid w:val="00564080"/>
    <w:rsid w:val="005D780F"/>
    <w:rsid w:val="00725A39"/>
    <w:rsid w:val="007C1ADB"/>
    <w:rsid w:val="00816D03"/>
    <w:rsid w:val="00893A51"/>
    <w:rsid w:val="00933C49"/>
    <w:rsid w:val="00973D4F"/>
    <w:rsid w:val="009B483E"/>
    <w:rsid w:val="00A21710"/>
    <w:rsid w:val="00B82F07"/>
    <w:rsid w:val="00C500E2"/>
    <w:rsid w:val="00CE5F32"/>
    <w:rsid w:val="00E15067"/>
    <w:rsid w:val="00E342F5"/>
    <w:rsid w:val="00EC6E0B"/>
    <w:rsid w:val="00F62B22"/>
    <w:rsid w:val="00FB4A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65C2"/>
  <w15:chartTrackingRefBased/>
  <w15:docId w15:val="{A9FEF870-8A87-4857-88E8-74755D9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22"/>
  </w:style>
  <w:style w:type="paragraph" w:styleId="Heading1">
    <w:name w:val="heading 1"/>
    <w:basedOn w:val="Normal"/>
    <w:next w:val="Normal"/>
    <w:link w:val="Heading1Char"/>
    <w:uiPriority w:val="9"/>
    <w:qFormat/>
    <w:rsid w:val="00455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97"/>
    <w:rPr>
      <w:rFonts w:eastAsiaTheme="majorEastAsia" w:cstheme="majorBidi"/>
      <w:color w:val="272727" w:themeColor="text1" w:themeTint="D8"/>
    </w:rPr>
  </w:style>
  <w:style w:type="paragraph" w:styleId="Title">
    <w:name w:val="Title"/>
    <w:basedOn w:val="Normal"/>
    <w:next w:val="Normal"/>
    <w:link w:val="TitleChar"/>
    <w:uiPriority w:val="10"/>
    <w:qFormat/>
    <w:rsid w:val="0045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97"/>
    <w:pPr>
      <w:spacing w:before="160"/>
      <w:jc w:val="center"/>
    </w:pPr>
    <w:rPr>
      <w:i/>
      <w:iCs/>
      <w:color w:val="404040" w:themeColor="text1" w:themeTint="BF"/>
    </w:rPr>
  </w:style>
  <w:style w:type="character" w:customStyle="1" w:styleId="QuoteChar">
    <w:name w:val="Quote Char"/>
    <w:basedOn w:val="DefaultParagraphFont"/>
    <w:link w:val="Quote"/>
    <w:uiPriority w:val="29"/>
    <w:rsid w:val="00455497"/>
    <w:rPr>
      <w:i/>
      <w:iCs/>
      <w:color w:val="404040" w:themeColor="text1" w:themeTint="BF"/>
    </w:rPr>
  </w:style>
  <w:style w:type="paragraph" w:styleId="ListParagraph">
    <w:name w:val="List Paragraph"/>
    <w:basedOn w:val="Normal"/>
    <w:uiPriority w:val="34"/>
    <w:qFormat/>
    <w:rsid w:val="00455497"/>
    <w:pPr>
      <w:numPr>
        <w:numId w:val="4"/>
      </w:numPr>
      <w:spacing w:after="120" w:line="240" w:lineRule="auto"/>
      <w:ind w:left="357" w:hanging="357"/>
    </w:pPr>
    <w:rPr>
      <w:sz w:val="24"/>
      <w:szCs w:val="24"/>
    </w:rPr>
  </w:style>
  <w:style w:type="character" w:styleId="IntenseEmphasis">
    <w:name w:val="Intense Emphasis"/>
    <w:basedOn w:val="DefaultParagraphFont"/>
    <w:uiPriority w:val="21"/>
    <w:rsid w:val="00455497"/>
    <w:rPr>
      <w:i/>
      <w:iCs/>
      <w:color w:val="0F4761" w:themeColor="accent1" w:themeShade="BF"/>
    </w:rPr>
  </w:style>
  <w:style w:type="paragraph" w:styleId="IntenseQuote">
    <w:name w:val="Intense Quote"/>
    <w:basedOn w:val="Normal"/>
    <w:next w:val="Normal"/>
    <w:link w:val="IntenseQuoteChar"/>
    <w:uiPriority w:val="30"/>
    <w:rsid w:val="00455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497"/>
    <w:rPr>
      <w:i/>
      <w:iCs/>
      <w:color w:val="0F4761" w:themeColor="accent1" w:themeShade="BF"/>
    </w:rPr>
  </w:style>
  <w:style w:type="character" w:styleId="IntenseReference">
    <w:name w:val="Intense Reference"/>
    <w:basedOn w:val="DefaultParagraphFont"/>
    <w:uiPriority w:val="32"/>
    <w:qFormat/>
    <w:rsid w:val="00455497"/>
    <w:rPr>
      <w:b/>
      <w:bCs/>
      <w:smallCaps/>
      <w:color w:val="0F4761" w:themeColor="accent1" w:themeShade="BF"/>
      <w:spacing w:val="5"/>
    </w:rPr>
  </w:style>
  <w:style w:type="paragraph" w:styleId="Revision">
    <w:name w:val="Revision"/>
    <w:hidden/>
    <w:uiPriority w:val="99"/>
    <w:semiHidden/>
    <w:rsid w:val="00A21710"/>
    <w:pPr>
      <w:spacing w:after="0" w:line="240" w:lineRule="auto"/>
    </w:pPr>
  </w:style>
  <w:style w:type="character" w:styleId="CommentReference">
    <w:name w:val="annotation reference"/>
    <w:basedOn w:val="DefaultParagraphFont"/>
    <w:uiPriority w:val="99"/>
    <w:semiHidden/>
    <w:unhideWhenUsed/>
    <w:rsid w:val="00A21710"/>
    <w:rPr>
      <w:sz w:val="16"/>
      <w:szCs w:val="16"/>
    </w:rPr>
  </w:style>
  <w:style w:type="paragraph" w:styleId="CommentText">
    <w:name w:val="annotation text"/>
    <w:basedOn w:val="Normal"/>
    <w:link w:val="CommentTextChar"/>
    <w:uiPriority w:val="99"/>
    <w:unhideWhenUsed/>
    <w:rsid w:val="00A21710"/>
    <w:pPr>
      <w:spacing w:line="240" w:lineRule="auto"/>
    </w:pPr>
    <w:rPr>
      <w:sz w:val="20"/>
      <w:szCs w:val="20"/>
    </w:rPr>
  </w:style>
  <w:style w:type="character" w:customStyle="1" w:styleId="CommentTextChar">
    <w:name w:val="Comment Text Char"/>
    <w:basedOn w:val="DefaultParagraphFont"/>
    <w:link w:val="CommentText"/>
    <w:uiPriority w:val="99"/>
    <w:rsid w:val="00A21710"/>
    <w:rPr>
      <w:sz w:val="20"/>
      <w:szCs w:val="20"/>
    </w:rPr>
  </w:style>
  <w:style w:type="paragraph" w:styleId="CommentSubject">
    <w:name w:val="annotation subject"/>
    <w:basedOn w:val="CommentText"/>
    <w:next w:val="CommentText"/>
    <w:link w:val="CommentSubjectChar"/>
    <w:uiPriority w:val="99"/>
    <w:semiHidden/>
    <w:unhideWhenUsed/>
    <w:rsid w:val="00A21710"/>
    <w:rPr>
      <w:b/>
      <w:bCs/>
    </w:rPr>
  </w:style>
  <w:style w:type="character" w:customStyle="1" w:styleId="CommentSubjectChar">
    <w:name w:val="Comment Subject Char"/>
    <w:basedOn w:val="CommentTextChar"/>
    <w:link w:val="CommentSubject"/>
    <w:uiPriority w:val="99"/>
    <w:semiHidden/>
    <w:rsid w:val="00A21710"/>
    <w:rPr>
      <w:b/>
      <w:bCs/>
      <w:sz w:val="20"/>
      <w:szCs w:val="20"/>
    </w:rPr>
  </w:style>
  <w:style w:type="character" w:styleId="Hyperlink">
    <w:name w:val="Hyperlink"/>
    <w:basedOn w:val="DefaultParagraphFont"/>
    <w:uiPriority w:val="99"/>
    <w:unhideWhenUsed/>
    <w:rsid w:val="00424482"/>
    <w:rPr>
      <w:color w:val="467886" w:themeColor="hyperlink"/>
      <w:u w:val="single"/>
    </w:rPr>
  </w:style>
  <w:style w:type="character" w:styleId="UnresolvedMention">
    <w:name w:val="Unresolved Mention"/>
    <w:basedOn w:val="DefaultParagraphFont"/>
    <w:uiPriority w:val="99"/>
    <w:semiHidden/>
    <w:unhideWhenUsed/>
    <w:rsid w:val="00424482"/>
    <w:rPr>
      <w:color w:val="605E5C"/>
      <w:shd w:val="clear" w:color="auto" w:fill="E1DFDD"/>
    </w:rPr>
  </w:style>
  <w:style w:type="paragraph" w:styleId="BalloonText">
    <w:name w:val="Balloon Text"/>
    <w:basedOn w:val="Normal"/>
    <w:link w:val="BalloonTextChar"/>
    <w:uiPriority w:val="99"/>
    <w:semiHidden/>
    <w:unhideWhenUsed/>
    <w:rsid w:val="000F2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sgsecreta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ventcharityfraud.org.uk/document/cybersecurity/" TargetMode="External"/><Relationship Id="rId5" Type="http://schemas.openxmlformats.org/officeDocument/2006/relationships/hyperlink" Target="https://www.gov.uk/data-prote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983</Words>
  <Characters>5124</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Mindell, Jenny</cp:lastModifiedBy>
  <cp:revision>3</cp:revision>
  <dcterms:created xsi:type="dcterms:W3CDTF">2026-01-13T12:02:00Z</dcterms:created>
  <dcterms:modified xsi:type="dcterms:W3CDTF">2026-01-22T12:01:00Z</dcterms:modified>
</cp:coreProperties>
</file>