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46A3" w:rsidRDefault="007E46A3" w:rsidP="007E46A3">
      <w:r>
        <w:t>3.8.26 Treasury on line system</w:t>
      </w:r>
      <w:bookmarkStart w:id="0" w:name="_GoBack"/>
      <w:bookmarkEnd w:id="0"/>
    </w:p>
    <w:p w:rsidR="007E46A3" w:rsidRDefault="007E46A3" w:rsidP="007E46A3"/>
    <w:p w:rsidR="007E46A3" w:rsidRDefault="007E46A3" w:rsidP="007E46A3">
      <w:r>
        <w:t>I am writing on behalf of the Transport and Health Science Group.</w:t>
      </w:r>
    </w:p>
    <w:p w:rsidR="007E46A3" w:rsidRDefault="007E46A3" w:rsidP="007E46A3">
      <w:r>
        <w:t>We would urge you to spend more on rail investment and on public health.</w:t>
      </w:r>
    </w:p>
    <w:p w:rsidR="007E46A3" w:rsidRDefault="007E46A3" w:rsidP="007E46A3">
      <w:r>
        <w:t>We appreciate that there is no point making such a request without indicating how it may be funded so the aim of our letter is to make some points on that question.</w:t>
      </w:r>
    </w:p>
    <w:p w:rsidR="007E46A3" w:rsidRDefault="007E46A3" w:rsidP="007E46A3">
      <w:r>
        <w:t>In relation to both issues, we believe that the problem affecting the public finances has been overstated because you are neglecting the work of David Stuckler who has assessed Keynesian multiplier effects for different kinds of public spending. He has shown that for health, education and welfare the multiplier exceeds the level at which spending is self-financing, raising more in taxes than it costs. It follows that increases in health, education and welfare spending are needed to generate the economic growth that will reduce the deficit and pay for low-multiplier spending.</w:t>
      </w:r>
    </w:p>
    <w:p w:rsidR="007E46A3" w:rsidRDefault="007E46A3" w:rsidP="007E46A3">
      <w:r>
        <w:t>In relation to railway investment we would point out that there is good evidence that such investment generates economic growth, and it ought to be possible to capture land value increases. We would also point out that a large amount of money is being spent on roads, using economic cases which assume that road investment will reduce congestion but all the evidence suggests that it does not do so. On the contrary it is rail investment which reduces road congestion. We would suggest therefore that a considerable amount of money currently being spend on roads would be more cost-effective if transferred to railways. We would also make the point that investment in railways creates revenue-raising assets so it does not increase net public indebtedness.</w:t>
      </w:r>
    </w:p>
    <w:p w:rsidR="007E46A3" w:rsidRDefault="007E46A3" w:rsidP="007E46A3">
      <w:r>
        <w:t>In relation to public health, we would reiterate our comments about the work of David Stuckler. We would also point out that many of the problems currently challenging the public finances are the result of a public health crisis- a health service overwhelmed by the consequences of obesity, inactivity and diabetes, a social care system overwhelmed by the increasing gap between life expectancy and healthy life expectancy, a welfare system overwhelmed by economic inactivity caused by sickness, and a problem of NEETS added to by mental health issues in young people.  We would also support the Tony Blair Institute's proposal for a separate category of public spending - prevention - and would suggest that prevention spending is not seen as in competition with revenue spending but is viewed as investment in future savings.</w:t>
      </w:r>
    </w:p>
    <w:p w:rsidR="007E46A3" w:rsidRDefault="007E46A3" w:rsidP="007E46A3">
      <w:r>
        <w:t>Yours sincerely</w:t>
      </w:r>
    </w:p>
    <w:p w:rsidR="007E46A3" w:rsidRDefault="007E46A3" w:rsidP="007E46A3">
      <w:r>
        <w:t>Stephen J. Watkins</w:t>
      </w:r>
    </w:p>
    <w:p w:rsidR="007E46A3" w:rsidRDefault="007E46A3" w:rsidP="007E46A3">
      <w:r>
        <w:t>Co-chair (Policy) Transport and Health Science Group</w:t>
      </w:r>
    </w:p>
    <w:p w:rsidR="00045155" w:rsidRDefault="007E46A3" w:rsidP="007E46A3">
      <w:r>
        <w:t>thsgchair@gmail.com</w:t>
      </w:r>
    </w:p>
    <w:sectPr w:rsidR="000451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6A3"/>
    <w:rsid w:val="00045155"/>
    <w:rsid w:val="00224A1C"/>
    <w:rsid w:val="007E4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32172"/>
  <w15:chartTrackingRefBased/>
  <w15:docId w15:val="{C45CE0BA-3B25-46A4-AF37-7904FA1D4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4A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389</Words>
  <Characters>2222</Characters>
  <Application>Microsoft Office Word</Application>
  <DocSecurity>0</DocSecurity>
  <Lines>18</Lines>
  <Paragraphs>5</Paragraphs>
  <ScaleCrop>false</ScaleCrop>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Watkins</dc:creator>
  <cp:keywords/>
  <dc:description/>
  <cp:lastModifiedBy>Watkins</cp:lastModifiedBy>
  <cp:revision>1</cp:revision>
  <dcterms:created xsi:type="dcterms:W3CDTF">2026-08-03T14:59:00Z</dcterms:created>
  <dcterms:modified xsi:type="dcterms:W3CDTF">2026-08-03T15:00:00Z</dcterms:modified>
</cp:coreProperties>
</file>